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0B" w:rsidRPr="0084431F" w:rsidRDefault="00534A0B" w:rsidP="0084431F">
      <w:pPr>
        <w:pStyle w:val="p2"/>
        <w:rPr>
          <w:rFonts w:asciiTheme="minorHAnsi" w:hAnsiTheme="minorHAnsi" w:cstheme="minorHAnsi"/>
          <w:b/>
          <w:bCs/>
          <w:sz w:val="22"/>
          <w:szCs w:val="22"/>
        </w:rPr>
      </w:pPr>
    </w:p>
    <w:p w:rsidR="00534A0B" w:rsidRDefault="00252E4A" w:rsidP="0084431F">
      <w:pPr>
        <w:pStyle w:val="p2"/>
        <w:rPr>
          <w:rFonts w:asciiTheme="minorHAnsi" w:hAnsiTheme="minorHAnsi" w:cstheme="minorHAnsi"/>
          <w:b/>
          <w:bCs/>
          <w:sz w:val="28"/>
          <w:szCs w:val="22"/>
        </w:rPr>
      </w:pPr>
      <w:r w:rsidRPr="0084431F">
        <w:rPr>
          <w:rFonts w:asciiTheme="minorHAnsi" w:hAnsiTheme="minorHAnsi" w:cstheme="minorHAnsi"/>
          <w:b/>
          <w:bCs/>
          <w:sz w:val="28"/>
          <w:szCs w:val="22"/>
        </w:rPr>
        <w:t>Erwartungen und Beurteilungskriterien für die m</w:t>
      </w:r>
      <w:r w:rsidR="00534A0B" w:rsidRPr="0084431F">
        <w:rPr>
          <w:rFonts w:asciiTheme="minorHAnsi" w:hAnsiTheme="minorHAnsi" w:cstheme="minorHAnsi"/>
          <w:b/>
          <w:bCs/>
          <w:sz w:val="28"/>
          <w:szCs w:val="22"/>
        </w:rPr>
        <w:t xml:space="preserve">ündliche </w:t>
      </w:r>
      <w:r w:rsidR="00D63062" w:rsidRPr="0084431F">
        <w:rPr>
          <w:rFonts w:asciiTheme="minorHAnsi" w:hAnsiTheme="minorHAnsi" w:cstheme="minorHAnsi"/>
          <w:b/>
          <w:bCs/>
          <w:sz w:val="28"/>
          <w:szCs w:val="22"/>
        </w:rPr>
        <w:t>Abiturprüfung</w:t>
      </w:r>
    </w:p>
    <w:p w:rsidR="0084431F" w:rsidRPr="0084431F" w:rsidRDefault="0084431F" w:rsidP="0084431F">
      <w:pPr>
        <w:pStyle w:val="p2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:rsidR="00252E4A" w:rsidRPr="0084431F" w:rsidRDefault="00252E4A" w:rsidP="00252E4A">
      <w:pPr>
        <w:pStyle w:val="p2"/>
        <w:rPr>
          <w:rFonts w:asciiTheme="minorHAnsi" w:hAnsiTheme="minorHAnsi" w:cstheme="minorHAnsi"/>
          <w:bCs/>
          <w:sz w:val="22"/>
          <w:szCs w:val="22"/>
        </w:rPr>
      </w:pPr>
      <w:r w:rsidRPr="0084431F">
        <w:rPr>
          <w:rFonts w:asciiTheme="minorHAnsi" w:hAnsiTheme="minorHAnsi" w:cstheme="minorHAnsi"/>
          <w:bCs/>
          <w:sz w:val="22"/>
          <w:szCs w:val="22"/>
        </w:rPr>
        <w:t>Vereinbarungen des Fachprüfungsausschusses gemäß Sitzung des FPA vom _____________________________</w:t>
      </w:r>
    </w:p>
    <w:p w:rsidR="004E6FEB" w:rsidRPr="004268D9" w:rsidRDefault="004E6FEB" w:rsidP="00252E4A">
      <w:pPr>
        <w:pStyle w:val="p2"/>
        <w:rPr>
          <w:rFonts w:asciiTheme="minorHAnsi" w:hAnsiTheme="minorHAnsi" w:cstheme="minorHAnsi"/>
          <w:b/>
          <w:bCs/>
          <w:sz w:val="22"/>
          <w:szCs w:val="22"/>
        </w:rPr>
      </w:pPr>
    </w:p>
    <w:p w:rsidR="00047E0D" w:rsidRPr="004268D9" w:rsidRDefault="00252E4A" w:rsidP="00252E4A">
      <w:pPr>
        <w:pStyle w:val="p2"/>
        <w:rPr>
          <w:rFonts w:asciiTheme="minorHAnsi" w:hAnsiTheme="minorHAnsi" w:cstheme="minorHAnsi"/>
          <w:b/>
          <w:bCs/>
          <w:sz w:val="22"/>
          <w:szCs w:val="22"/>
        </w:rPr>
      </w:pPr>
      <w:r w:rsidRPr="004268D9">
        <w:rPr>
          <w:rFonts w:asciiTheme="minorHAnsi" w:hAnsiTheme="minorHAnsi" w:cstheme="minorHAnsi"/>
          <w:b/>
          <w:bCs/>
          <w:sz w:val="22"/>
          <w:szCs w:val="22"/>
        </w:rPr>
        <w:t>Fachprüfungsausschuss Spanisch:</w:t>
      </w:r>
    </w:p>
    <w:p w:rsidR="004E6FEB" w:rsidRPr="004268D9" w:rsidRDefault="004E6FEB" w:rsidP="00252E4A">
      <w:pPr>
        <w:pStyle w:val="p2"/>
        <w:rPr>
          <w:rFonts w:asciiTheme="minorHAnsi" w:hAnsiTheme="minorHAnsi" w:cstheme="minorHAnsi"/>
          <w:b/>
          <w:bCs/>
          <w:sz w:val="22"/>
          <w:szCs w:val="22"/>
        </w:rPr>
      </w:pPr>
    </w:p>
    <w:p w:rsidR="004268D9" w:rsidRPr="0084431F" w:rsidRDefault="00252E4A" w:rsidP="004268D9">
      <w:pPr>
        <w:pStyle w:val="p2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84431F">
        <w:rPr>
          <w:rFonts w:asciiTheme="minorHAnsi" w:hAnsiTheme="minorHAnsi" w:cstheme="minorHAnsi"/>
          <w:bCs/>
          <w:sz w:val="22"/>
          <w:szCs w:val="22"/>
        </w:rPr>
        <w:t>Vorsitz:</w:t>
      </w:r>
      <w:r w:rsidR="004268D9" w:rsidRPr="0084431F">
        <w:rPr>
          <w:rFonts w:asciiTheme="minorHAnsi" w:hAnsiTheme="minorHAnsi" w:cstheme="minorHAnsi"/>
          <w:bCs/>
          <w:sz w:val="22"/>
          <w:szCs w:val="22"/>
        </w:rPr>
        <w:tab/>
      </w:r>
      <w:r w:rsidR="004268D9" w:rsidRPr="0084431F">
        <w:rPr>
          <w:rFonts w:asciiTheme="minorHAnsi" w:hAnsiTheme="minorHAnsi" w:cstheme="minorHAnsi"/>
          <w:bCs/>
          <w:sz w:val="22"/>
          <w:szCs w:val="22"/>
        </w:rPr>
        <w:tab/>
      </w:r>
      <w:r w:rsidRPr="0084431F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 </w:t>
      </w:r>
      <w:r w:rsidR="00047E0D" w:rsidRPr="0084431F">
        <w:rPr>
          <w:rFonts w:asciiTheme="minorHAnsi" w:hAnsiTheme="minorHAnsi" w:cstheme="minorHAnsi"/>
          <w:bCs/>
          <w:sz w:val="22"/>
          <w:szCs w:val="22"/>
        </w:rPr>
        <w:tab/>
      </w:r>
      <w:r w:rsidR="00047E0D" w:rsidRPr="0084431F">
        <w:rPr>
          <w:rFonts w:asciiTheme="minorHAnsi" w:hAnsiTheme="minorHAnsi" w:cstheme="minorHAnsi"/>
          <w:bCs/>
          <w:sz w:val="22"/>
          <w:szCs w:val="22"/>
        </w:rPr>
        <w:tab/>
      </w:r>
    </w:p>
    <w:p w:rsidR="004268D9" w:rsidRPr="0084431F" w:rsidRDefault="00252E4A" w:rsidP="004268D9">
      <w:pPr>
        <w:pStyle w:val="p2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84431F">
        <w:rPr>
          <w:rFonts w:asciiTheme="minorHAnsi" w:hAnsiTheme="minorHAnsi" w:cstheme="minorHAnsi"/>
          <w:bCs/>
          <w:sz w:val="22"/>
          <w:szCs w:val="22"/>
        </w:rPr>
        <w:t xml:space="preserve">Prüfer/in: </w:t>
      </w:r>
      <w:r w:rsidR="004268D9" w:rsidRPr="0084431F">
        <w:rPr>
          <w:rFonts w:asciiTheme="minorHAnsi" w:hAnsiTheme="minorHAnsi" w:cstheme="minorHAnsi"/>
          <w:bCs/>
          <w:sz w:val="22"/>
          <w:szCs w:val="22"/>
        </w:rPr>
        <w:tab/>
      </w:r>
      <w:r w:rsidR="00047E0D" w:rsidRPr="0084431F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  <w:r w:rsidR="00047E0D" w:rsidRPr="0084431F">
        <w:rPr>
          <w:rFonts w:asciiTheme="minorHAnsi" w:hAnsiTheme="minorHAnsi" w:cstheme="minorHAnsi"/>
          <w:bCs/>
          <w:sz w:val="22"/>
          <w:szCs w:val="22"/>
        </w:rPr>
        <w:tab/>
      </w:r>
      <w:r w:rsidR="00047E0D" w:rsidRPr="0084431F">
        <w:rPr>
          <w:rFonts w:asciiTheme="minorHAnsi" w:hAnsiTheme="minorHAnsi" w:cstheme="minorHAnsi"/>
          <w:bCs/>
          <w:sz w:val="22"/>
          <w:szCs w:val="22"/>
        </w:rPr>
        <w:tab/>
      </w:r>
    </w:p>
    <w:p w:rsidR="00252E4A" w:rsidRPr="0084431F" w:rsidRDefault="00252E4A" w:rsidP="004268D9">
      <w:pPr>
        <w:pStyle w:val="p2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84431F">
        <w:rPr>
          <w:rFonts w:asciiTheme="minorHAnsi" w:hAnsiTheme="minorHAnsi" w:cstheme="minorHAnsi"/>
          <w:bCs/>
          <w:sz w:val="22"/>
          <w:szCs w:val="22"/>
        </w:rPr>
        <w:t>Protokoll:</w:t>
      </w:r>
      <w:r w:rsidR="004268D9" w:rsidRPr="0084431F">
        <w:rPr>
          <w:rFonts w:asciiTheme="minorHAnsi" w:hAnsiTheme="minorHAnsi" w:cstheme="minorHAnsi"/>
          <w:bCs/>
          <w:sz w:val="22"/>
          <w:szCs w:val="22"/>
        </w:rPr>
        <w:tab/>
      </w:r>
      <w:r w:rsidRPr="008443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7E0D" w:rsidRPr="0084431F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:rsidR="00047E0D" w:rsidRPr="004268D9" w:rsidRDefault="00047E0D" w:rsidP="00534A0B">
      <w:pPr>
        <w:rPr>
          <w:rFonts w:asciiTheme="minorHAnsi" w:hAnsiTheme="minorHAnsi" w:cstheme="minorHAnsi"/>
          <w:b/>
          <w:sz w:val="22"/>
          <w:szCs w:val="22"/>
        </w:rPr>
      </w:pPr>
    </w:p>
    <w:p w:rsidR="00534A0B" w:rsidRPr="004268D9" w:rsidRDefault="00252E4A" w:rsidP="00534A0B">
      <w:pPr>
        <w:rPr>
          <w:rFonts w:asciiTheme="minorHAnsi" w:hAnsiTheme="minorHAnsi" w:cstheme="minorHAnsi"/>
          <w:b/>
          <w:sz w:val="22"/>
          <w:szCs w:val="22"/>
        </w:rPr>
      </w:pPr>
      <w:r w:rsidRPr="004268D9">
        <w:rPr>
          <w:rFonts w:asciiTheme="minorHAnsi" w:hAnsiTheme="minorHAnsi" w:cstheme="minorHAnsi"/>
          <w:b/>
          <w:sz w:val="22"/>
          <w:szCs w:val="22"/>
        </w:rPr>
        <w:t>Prüfungsgruppe (Name/n des Prüflings / der Prüflinge)</w:t>
      </w:r>
      <w:r w:rsidR="0084431F">
        <w:rPr>
          <w:rFonts w:asciiTheme="minorHAnsi" w:hAnsiTheme="minorHAnsi" w:cstheme="minorHAnsi"/>
          <w:b/>
          <w:sz w:val="22"/>
          <w:szCs w:val="22"/>
        </w:rPr>
        <w:t>:</w:t>
      </w:r>
    </w:p>
    <w:p w:rsidR="00047E0D" w:rsidRPr="004268D9" w:rsidRDefault="00047E0D" w:rsidP="0004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268D9" w:rsidRPr="004268D9" w:rsidRDefault="00252E4A" w:rsidP="004268D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268D9">
        <w:rPr>
          <w:rFonts w:asciiTheme="minorHAnsi" w:hAnsiTheme="minorHAnsi" w:cstheme="minorHAnsi"/>
          <w:sz w:val="22"/>
          <w:szCs w:val="22"/>
        </w:rPr>
        <w:t>1. _______________________________________________________</w:t>
      </w:r>
      <w:r w:rsidR="00047E0D" w:rsidRPr="004268D9">
        <w:rPr>
          <w:rFonts w:asciiTheme="minorHAnsi" w:hAnsiTheme="minorHAnsi" w:cstheme="minorHAnsi"/>
          <w:sz w:val="22"/>
          <w:szCs w:val="22"/>
        </w:rPr>
        <w:t xml:space="preserve">  </w:t>
      </w:r>
      <w:r w:rsidR="00047E0D" w:rsidRPr="004268D9">
        <w:rPr>
          <w:rFonts w:asciiTheme="minorHAnsi" w:hAnsiTheme="minorHAnsi" w:cstheme="minorHAnsi"/>
          <w:sz w:val="22"/>
          <w:szCs w:val="22"/>
        </w:rPr>
        <w:tab/>
      </w:r>
    </w:p>
    <w:p w:rsidR="004268D9" w:rsidRPr="004268D9" w:rsidRDefault="00252E4A" w:rsidP="004268D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268D9">
        <w:rPr>
          <w:rFonts w:asciiTheme="minorHAnsi" w:hAnsiTheme="minorHAnsi" w:cstheme="minorHAnsi"/>
          <w:sz w:val="22"/>
          <w:szCs w:val="22"/>
        </w:rPr>
        <w:t>2. _______________________________________________________</w:t>
      </w:r>
      <w:r w:rsidR="00047E0D" w:rsidRPr="004268D9">
        <w:rPr>
          <w:rFonts w:asciiTheme="minorHAnsi" w:hAnsiTheme="minorHAnsi" w:cstheme="minorHAnsi"/>
          <w:sz w:val="22"/>
          <w:szCs w:val="22"/>
        </w:rPr>
        <w:t xml:space="preserve">  </w:t>
      </w:r>
      <w:r w:rsidR="00047E0D" w:rsidRPr="004268D9">
        <w:rPr>
          <w:rFonts w:asciiTheme="minorHAnsi" w:hAnsiTheme="minorHAnsi" w:cstheme="minorHAnsi"/>
          <w:sz w:val="22"/>
          <w:szCs w:val="22"/>
        </w:rPr>
        <w:tab/>
      </w:r>
    </w:p>
    <w:p w:rsidR="00252E4A" w:rsidRPr="004268D9" w:rsidRDefault="00252E4A" w:rsidP="004268D9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268D9">
        <w:rPr>
          <w:rFonts w:asciiTheme="minorHAnsi" w:hAnsiTheme="minorHAnsi" w:cstheme="minorHAnsi"/>
          <w:sz w:val="22"/>
          <w:szCs w:val="22"/>
        </w:rPr>
        <w:t>3. _______________________________________________________</w:t>
      </w:r>
    </w:p>
    <w:p w:rsidR="00252E4A" w:rsidRPr="004268D9" w:rsidRDefault="00252E4A" w:rsidP="0004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4D2808" w:rsidRPr="004268D9" w:rsidTr="00D860A9">
        <w:tc>
          <w:tcPr>
            <w:tcW w:w="1485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D2808" w:rsidRPr="004268D9" w:rsidRDefault="00534A0B" w:rsidP="00D86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D2808" w:rsidRPr="004268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Grundsätze: </w:t>
            </w:r>
          </w:p>
          <w:p w:rsidR="004D2808" w:rsidRPr="004268D9" w:rsidRDefault="004D2808" w:rsidP="004D280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Das Verhältnis der Gewichtung von inhaltlicher Leistung zur Darstellungsleistung beträgt </w:t>
            </w:r>
            <w:proofErr w:type="gramStart"/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40 :</w:t>
            </w:r>
            <w:proofErr w:type="gramEnd"/>
            <w:r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60</w:t>
            </w:r>
            <w:r w:rsidR="004268D9" w:rsidRPr="00426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527B5" w:rsidRPr="00C82968" w:rsidRDefault="004D2808" w:rsidP="000527B5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Für das Erreichen der Gesamtnote „gut“ müssen </w:t>
            </w:r>
            <w:r w:rsidR="000527B5" w:rsidRPr="004268D9">
              <w:rPr>
                <w:rFonts w:asciiTheme="minorHAnsi" w:hAnsiTheme="minorHAnsi" w:cstheme="minorHAnsi"/>
                <w:sz w:val="22"/>
                <w:szCs w:val="22"/>
              </w:rPr>
              <w:t>in allen Bereichen insgesamt überzeug</w:t>
            </w:r>
            <w:r w:rsidR="00C82968">
              <w:rPr>
                <w:rFonts w:asciiTheme="minorHAnsi" w:hAnsiTheme="minorHAnsi" w:cstheme="minorHAnsi"/>
                <w:sz w:val="22"/>
                <w:szCs w:val="22"/>
              </w:rPr>
              <w:t xml:space="preserve">ende Ergebnisse erzielt werden </w:t>
            </w:r>
            <w:r w:rsidR="00C82968" w:rsidRPr="00C8296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BE63E9">
              <w:rPr>
                <w:rFonts w:asciiTheme="minorHAnsi" w:hAnsiTheme="minorHAnsi" w:cstheme="minorHAnsi"/>
                <w:i/>
                <w:sz w:val="22"/>
                <w:szCs w:val="22"/>
              </w:rPr>
              <w:t>Ergänzung um</w:t>
            </w:r>
            <w:r w:rsidR="00C82968" w:rsidRPr="00C829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Hinweise zu</w:t>
            </w:r>
            <w:r w:rsidR="009C58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 Erfüllung der </w:t>
            </w:r>
            <w:r w:rsidR="00C82968" w:rsidRPr="00C82968">
              <w:rPr>
                <w:rFonts w:asciiTheme="minorHAnsi" w:hAnsiTheme="minorHAnsi" w:cstheme="minorHAnsi"/>
                <w:i/>
                <w:sz w:val="22"/>
                <w:szCs w:val="22"/>
              </w:rPr>
              <w:t>Kriterien auf der Ebene der Inhaltsleistung und der Ebene der Darstellungsleistung)</w:t>
            </w:r>
            <w:r w:rsidR="00C8296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4D2808" w:rsidRPr="00C82968" w:rsidRDefault="004D2808" w:rsidP="009C586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2968">
              <w:rPr>
                <w:rFonts w:asciiTheme="minorHAnsi" w:hAnsiTheme="minorHAnsi" w:cstheme="minorHAnsi"/>
                <w:sz w:val="22"/>
                <w:szCs w:val="22"/>
              </w:rPr>
              <w:t xml:space="preserve">Für das Erreichen der Gesamtnote „ausreichend“ müssen </w:t>
            </w:r>
            <w:r w:rsidR="000527B5" w:rsidRPr="00C82968">
              <w:rPr>
                <w:rFonts w:asciiTheme="minorHAnsi" w:hAnsiTheme="minorHAnsi" w:cstheme="minorHAnsi"/>
                <w:sz w:val="22"/>
                <w:szCs w:val="22"/>
              </w:rPr>
              <w:t>in allen Bereichen insgesamt hinreichende Ergebn</w:t>
            </w:r>
            <w:r w:rsidR="00C82968">
              <w:rPr>
                <w:rFonts w:asciiTheme="minorHAnsi" w:hAnsiTheme="minorHAnsi" w:cstheme="minorHAnsi"/>
                <w:sz w:val="22"/>
                <w:szCs w:val="22"/>
              </w:rPr>
              <w:t>isse erzielt werden</w:t>
            </w:r>
            <w:r w:rsidR="00C82968" w:rsidRPr="00C82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2968" w:rsidRPr="00C8296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BE63E9">
              <w:rPr>
                <w:rFonts w:asciiTheme="minorHAnsi" w:hAnsiTheme="minorHAnsi" w:cstheme="minorHAnsi"/>
                <w:i/>
                <w:sz w:val="22"/>
                <w:szCs w:val="22"/>
              </w:rPr>
              <w:t>Ergänzung um</w:t>
            </w:r>
            <w:r w:rsidR="00C82968" w:rsidRPr="00C829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Hinweise zu</w:t>
            </w:r>
            <w:r w:rsidR="009C58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 Erfüllung der </w:t>
            </w:r>
            <w:r w:rsidR="00C82968" w:rsidRPr="00C82968">
              <w:rPr>
                <w:rFonts w:asciiTheme="minorHAnsi" w:hAnsiTheme="minorHAnsi" w:cstheme="minorHAnsi"/>
                <w:i/>
                <w:sz w:val="22"/>
                <w:szCs w:val="22"/>
              </w:rPr>
              <w:t>Kriterien auf der Ebene der Inhaltsleistung und der Ebene der Darstellungsleistung).</w:t>
            </w:r>
          </w:p>
        </w:tc>
      </w:tr>
    </w:tbl>
    <w:p w:rsidR="004D2808" w:rsidRPr="004268D9" w:rsidRDefault="004D2808" w:rsidP="00534A0B">
      <w:pPr>
        <w:pStyle w:val="p1"/>
        <w:rPr>
          <w:rFonts w:asciiTheme="minorHAnsi" w:hAnsiTheme="minorHAnsi" w:cstheme="minorHAnsi"/>
          <w:b/>
          <w:sz w:val="22"/>
          <w:szCs w:val="22"/>
        </w:rPr>
      </w:pPr>
    </w:p>
    <w:p w:rsidR="00AD5D09" w:rsidRPr="004268D9" w:rsidRDefault="00D257A6" w:rsidP="004268D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68D9">
        <w:rPr>
          <w:rFonts w:asciiTheme="minorHAnsi" w:hAnsiTheme="minorHAnsi" w:cstheme="minorHAnsi"/>
          <w:b/>
          <w:sz w:val="22"/>
          <w:szCs w:val="22"/>
        </w:rPr>
        <w:t>Erster Prüfungsteil</w:t>
      </w:r>
      <w:r w:rsidR="00AD5D09" w:rsidRPr="004268D9">
        <w:rPr>
          <w:rFonts w:asciiTheme="minorHAnsi" w:hAnsiTheme="minorHAnsi" w:cstheme="minorHAnsi"/>
          <w:b/>
          <w:sz w:val="22"/>
          <w:szCs w:val="22"/>
        </w:rPr>
        <w:t>:</w:t>
      </w:r>
    </w:p>
    <w:p w:rsidR="00AD5D09" w:rsidRPr="004268D9" w:rsidRDefault="00AD5D09" w:rsidP="004268D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68D9">
        <w:rPr>
          <w:rFonts w:asciiTheme="minorHAnsi" w:hAnsiTheme="minorHAnsi" w:cstheme="minorHAnsi"/>
          <w:b/>
          <w:sz w:val="22"/>
          <w:szCs w:val="22"/>
        </w:rPr>
        <w:t xml:space="preserve">Inhaltlicher Schwerpunkt: </w:t>
      </w:r>
    </w:p>
    <w:p w:rsidR="00AD5D09" w:rsidRPr="004268D9" w:rsidRDefault="00AD5D09" w:rsidP="00AD5D09">
      <w:pPr>
        <w:pStyle w:val="Default"/>
        <w:rPr>
          <w:rFonts w:asciiTheme="minorHAnsi" w:eastAsiaTheme="minorHAnsi" w:hAnsiTheme="minorHAnsi" w:cstheme="minorHAnsi"/>
          <w:color w:val="auto"/>
          <w:sz w:val="22"/>
          <w:szCs w:val="22"/>
          <w:lang w:eastAsia="de-DE"/>
        </w:rPr>
      </w:pPr>
      <w:r w:rsidRPr="004268D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de-DE"/>
        </w:rPr>
        <w:t>Alltagswirklichkeiten und berufliche Perspektiven junger Menschen</w:t>
      </w:r>
      <w:r w:rsidRPr="004268D9">
        <w:rPr>
          <w:rFonts w:asciiTheme="minorHAnsi" w:eastAsiaTheme="minorHAnsi" w:hAnsiTheme="minorHAnsi" w:cstheme="minorHAnsi"/>
          <w:color w:val="auto"/>
          <w:sz w:val="22"/>
          <w:szCs w:val="22"/>
          <w:lang w:eastAsia="de-DE"/>
        </w:rPr>
        <w:t xml:space="preserve">: Facetten persönlicher und beruflicher Lebensgestaltung und Lebensentwürfe Jugendlicher und junger Erwachsener in der sich verändernden spanischsprachigen Welt: </w:t>
      </w:r>
      <w:proofErr w:type="spellStart"/>
      <w:r w:rsidRPr="004268D9">
        <w:rPr>
          <w:rFonts w:asciiTheme="minorHAnsi" w:hAnsiTheme="minorHAnsi" w:cstheme="minorHAnsi"/>
          <w:b/>
          <w:color w:val="auto"/>
          <w:sz w:val="22"/>
          <w:szCs w:val="22"/>
          <w:lang w:eastAsia="de-DE"/>
        </w:rPr>
        <w:t>España</w:t>
      </w:r>
      <w:proofErr w:type="spellEnd"/>
      <w:r w:rsidRPr="004268D9">
        <w:rPr>
          <w:rFonts w:asciiTheme="minorHAnsi" w:hAnsiTheme="minorHAnsi" w:cstheme="minorHAnsi"/>
          <w:b/>
          <w:color w:val="auto"/>
          <w:sz w:val="22"/>
          <w:szCs w:val="22"/>
          <w:lang w:eastAsia="de-DE"/>
        </w:rPr>
        <w:t xml:space="preserve"> – </w:t>
      </w:r>
      <w:proofErr w:type="spellStart"/>
      <w:r w:rsidRPr="004268D9">
        <w:rPr>
          <w:rFonts w:asciiTheme="minorHAnsi" w:hAnsiTheme="minorHAnsi" w:cstheme="minorHAnsi"/>
          <w:b/>
          <w:color w:val="auto"/>
          <w:sz w:val="22"/>
          <w:szCs w:val="22"/>
          <w:lang w:eastAsia="de-DE"/>
        </w:rPr>
        <w:t>país</w:t>
      </w:r>
      <w:proofErr w:type="spellEnd"/>
      <w:r w:rsidRPr="004268D9">
        <w:rPr>
          <w:rFonts w:asciiTheme="minorHAnsi" w:hAnsiTheme="minorHAnsi" w:cstheme="minorHAnsi"/>
          <w:b/>
          <w:color w:val="auto"/>
          <w:sz w:val="22"/>
          <w:szCs w:val="22"/>
          <w:lang w:eastAsia="de-DE"/>
        </w:rPr>
        <w:t xml:space="preserve"> de </w:t>
      </w:r>
      <w:proofErr w:type="spellStart"/>
      <w:r w:rsidRPr="004268D9">
        <w:rPr>
          <w:rFonts w:asciiTheme="minorHAnsi" w:hAnsiTheme="minorHAnsi" w:cstheme="minorHAnsi"/>
          <w:b/>
          <w:color w:val="auto"/>
          <w:sz w:val="22"/>
          <w:szCs w:val="22"/>
          <w:lang w:eastAsia="de-DE"/>
        </w:rPr>
        <w:t>inmigración</w:t>
      </w:r>
      <w:proofErr w:type="spellEnd"/>
      <w:r w:rsidRPr="004268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D5D09" w:rsidRPr="004268D9" w:rsidRDefault="00AD5D09" w:rsidP="00AD5D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"/>
        </w:rPr>
      </w:pPr>
      <w:r w:rsidRPr="004268D9">
        <w:rPr>
          <w:rFonts w:asciiTheme="minorHAnsi" w:hAnsiTheme="minorHAnsi" w:cstheme="minorHAnsi"/>
          <w:b/>
          <w:sz w:val="22"/>
          <w:szCs w:val="22"/>
          <w:lang w:val="es-ES"/>
        </w:rPr>
        <w:t>Kursthema</w:t>
      </w:r>
      <w:r w:rsidRPr="004268D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 w:rsidRPr="004268D9">
        <w:rPr>
          <w:rFonts w:asciiTheme="minorHAnsi" w:hAnsiTheme="minorHAnsi" w:cstheme="minorHAnsi"/>
          <w:sz w:val="22"/>
          <w:szCs w:val="22"/>
          <w:lang w:val="es-ES"/>
        </w:rPr>
        <w:tab/>
        <w:t>Q1.1</w:t>
      </w:r>
    </w:p>
    <w:p w:rsidR="00AD5D09" w:rsidRPr="004268D9" w:rsidRDefault="00AD5D09" w:rsidP="00AD5D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"/>
        </w:rPr>
      </w:pPr>
      <w:r w:rsidRPr="004268D9">
        <w:rPr>
          <w:rFonts w:asciiTheme="minorHAnsi" w:hAnsiTheme="minorHAnsi" w:cstheme="minorHAnsi"/>
          <w:b/>
          <w:sz w:val="22"/>
          <w:szCs w:val="22"/>
          <w:lang w:val="es-ES"/>
        </w:rPr>
        <w:t>Textvorlage</w:t>
      </w:r>
      <w:r w:rsidRPr="004268D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 w:rsidRPr="004268D9">
        <w:rPr>
          <w:rFonts w:asciiTheme="minorHAnsi" w:hAnsiTheme="minorHAnsi" w:cstheme="minorHAnsi"/>
          <w:sz w:val="22"/>
          <w:szCs w:val="22"/>
          <w:lang w:val="es-ES"/>
        </w:rPr>
        <w:tab/>
        <w:t xml:space="preserve">Auszug aus Francisco Díaz Valladares: </w:t>
      </w:r>
      <w:r w:rsidRPr="004268D9">
        <w:rPr>
          <w:rFonts w:asciiTheme="minorHAnsi" w:hAnsiTheme="minorHAnsi" w:cstheme="minorHAnsi"/>
          <w:i/>
          <w:sz w:val="22"/>
          <w:szCs w:val="22"/>
          <w:lang w:val="es-ES"/>
        </w:rPr>
        <w:t>La hija del tuareg</w:t>
      </w:r>
      <w:r w:rsidRPr="004268D9">
        <w:rPr>
          <w:rFonts w:asciiTheme="minorHAnsi" w:hAnsiTheme="minorHAnsi" w:cstheme="minorHAnsi"/>
          <w:sz w:val="22"/>
          <w:szCs w:val="22"/>
          <w:lang w:val="es-ES"/>
        </w:rPr>
        <w:t xml:space="preserve">, Barcelona 2011, 154-155 </w:t>
      </w:r>
    </w:p>
    <w:p w:rsidR="00AD5D09" w:rsidRPr="004268D9" w:rsidRDefault="00AD5D09" w:rsidP="00AD5D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4268D9">
        <w:rPr>
          <w:rFonts w:asciiTheme="minorHAnsi" w:hAnsiTheme="minorHAnsi" w:cstheme="minorHAnsi"/>
          <w:b/>
          <w:sz w:val="22"/>
          <w:szCs w:val="22"/>
        </w:rPr>
        <w:t>Wortzahl</w:t>
      </w:r>
      <w:proofErr w:type="spellEnd"/>
      <w:r w:rsidRPr="004268D9">
        <w:rPr>
          <w:rFonts w:asciiTheme="minorHAnsi" w:hAnsiTheme="minorHAnsi" w:cstheme="minorHAnsi"/>
          <w:sz w:val="22"/>
          <w:szCs w:val="22"/>
        </w:rPr>
        <w:t xml:space="preserve">: </w:t>
      </w:r>
      <w:r w:rsidRPr="004268D9">
        <w:rPr>
          <w:rFonts w:asciiTheme="minorHAnsi" w:hAnsiTheme="minorHAnsi" w:cstheme="minorHAnsi"/>
          <w:sz w:val="22"/>
          <w:szCs w:val="22"/>
        </w:rPr>
        <w:tab/>
        <w:t>223 Wörter</w:t>
      </w:r>
    </w:p>
    <w:p w:rsidR="004D2808" w:rsidRPr="004268D9" w:rsidRDefault="004D2808">
      <w:pPr>
        <w:rPr>
          <w:rFonts w:asciiTheme="minorHAnsi" w:hAnsiTheme="minorHAnsi" w:cstheme="minorHAnsi"/>
          <w:b/>
          <w:sz w:val="22"/>
          <w:szCs w:val="22"/>
        </w:rPr>
      </w:pPr>
      <w:r w:rsidRPr="004268D9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34A0B" w:rsidRPr="004268D9" w:rsidRDefault="004B7E3A" w:rsidP="004268D9">
      <w:pPr>
        <w:spacing w:line="360" w:lineRule="auto"/>
        <w:rPr>
          <w:rFonts w:asciiTheme="minorHAnsi" w:hAnsiTheme="minorHAnsi" w:cstheme="minorHAnsi"/>
          <w:b/>
        </w:rPr>
      </w:pPr>
      <w:r w:rsidRPr="004268D9">
        <w:rPr>
          <w:rFonts w:asciiTheme="minorHAnsi" w:hAnsiTheme="minorHAnsi" w:cstheme="minorHAnsi"/>
          <w:b/>
        </w:rPr>
        <w:t xml:space="preserve">Erster </w:t>
      </w:r>
      <w:r w:rsidR="00534A0B" w:rsidRPr="004268D9">
        <w:rPr>
          <w:rFonts w:asciiTheme="minorHAnsi" w:hAnsiTheme="minorHAnsi" w:cstheme="minorHAnsi"/>
          <w:b/>
        </w:rPr>
        <w:t xml:space="preserve">Prüfungsteil: </w:t>
      </w:r>
      <w:r w:rsidRPr="004268D9">
        <w:rPr>
          <w:rFonts w:asciiTheme="minorHAnsi" w:hAnsiTheme="minorHAnsi" w:cstheme="minorHAnsi"/>
          <w:b/>
        </w:rPr>
        <w:t xml:space="preserve">Vortrag </w:t>
      </w:r>
      <w:r w:rsidRPr="004268D9">
        <w:rPr>
          <w:rFonts w:asciiTheme="minorHAnsi" w:hAnsiTheme="minorHAnsi" w:cstheme="minorHAnsi"/>
        </w:rPr>
        <w:t>(z</w:t>
      </w:r>
      <w:r w:rsidR="00534A0B" w:rsidRPr="004268D9">
        <w:rPr>
          <w:rFonts w:asciiTheme="minorHAnsi" w:hAnsiTheme="minorHAnsi" w:cstheme="minorHAnsi"/>
        </w:rPr>
        <w:t>usammenhängendes Sprechen</w:t>
      </w:r>
      <w:r w:rsidRPr="004268D9">
        <w:rPr>
          <w:rFonts w:asciiTheme="minorHAnsi" w:hAnsiTheme="minorHAnsi" w:cstheme="minorHAnsi"/>
        </w:rPr>
        <w:t>)</w:t>
      </w:r>
      <w:r w:rsidR="00534A0B" w:rsidRPr="004268D9">
        <w:rPr>
          <w:rFonts w:asciiTheme="minorHAnsi" w:hAnsiTheme="minorHAnsi" w:cstheme="minorHAnsi"/>
          <w:b/>
        </w:rPr>
        <w:t>  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187"/>
        <w:gridCol w:w="1438"/>
        <w:gridCol w:w="6991"/>
      </w:tblGrid>
      <w:tr w:rsidR="00A9077C" w:rsidRPr="004268D9" w:rsidTr="002846C5">
        <w:trPr>
          <w:trHeight w:val="148"/>
        </w:trPr>
        <w:tc>
          <w:tcPr>
            <w:tcW w:w="2301" w:type="pct"/>
            <w:vMerge w:val="restart"/>
            <w:shd w:val="clear" w:color="auto" w:fill="D9D9D9" w:themeFill="background1" w:themeFillShade="D9"/>
          </w:tcPr>
          <w:p w:rsidR="00047E0D" w:rsidRPr="004268D9" w:rsidRDefault="00A9077C" w:rsidP="009A74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Inhaltliche Leistung </w:t>
            </w:r>
            <w:r w:rsidR="00047E0D" w:rsidRPr="004268D9">
              <w:rPr>
                <w:rFonts w:asciiTheme="minorHAnsi" w:hAnsiTheme="minorHAnsi" w:cstheme="minorHAnsi"/>
                <w:b/>
                <w:sz w:val="22"/>
                <w:szCs w:val="22"/>
              </w:rPr>
              <w:t>/ EWH</w:t>
            </w:r>
            <w:r w:rsidR="004268D9" w:rsidRPr="004268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9077C" w:rsidRPr="004268D9" w:rsidRDefault="00A9077C" w:rsidP="00047E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(40%)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:rsidR="00A9077C" w:rsidRPr="004268D9" w:rsidRDefault="0091222A" w:rsidP="009A74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b/>
                <w:sz w:val="22"/>
                <w:szCs w:val="22"/>
              </w:rPr>
              <w:t>Bewertung</w:t>
            </w:r>
          </w:p>
        </w:tc>
        <w:tc>
          <w:tcPr>
            <w:tcW w:w="2238" w:type="pct"/>
            <w:vMerge w:val="restart"/>
            <w:shd w:val="clear" w:color="auto" w:fill="D9D9D9" w:themeFill="background1" w:themeFillShade="D9"/>
          </w:tcPr>
          <w:p w:rsidR="00A9077C" w:rsidRPr="004268D9" w:rsidRDefault="00A9077C" w:rsidP="009A74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68D9">
              <w:rPr>
                <w:rFonts w:asciiTheme="minorHAnsi" w:hAnsiTheme="minorHAnsi" w:cstheme="minorHAnsi"/>
                <w:b/>
              </w:rPr>
              <w:t>Sprachliche Leistung / Darstellungsleistung</w:t>
            </w:r>
          </w:p>
          <w:p w:rsidR="00804B94" w:rsidRPr="004268D9" w:rsidRDefault="00804B94" w:rsidP="00804B94">
            <w:pPr>
              <w:jc w:val="center"/>
              <w:rPr>
                <w:rFonts w:asciiTheme="minorHAnsi" w:hAnsiTheme="minorHAnsi" w:cstheme="minorHAnsi"/>
              </w:rPr>
            </w:pPr>
            <w:r w:rsidRPr="004268D9">
              <w:rPr>
                <w:rFonts w:asciiTheme="minorHAnsi" w:hAnsiTheme="minorHAnsi" w:cstheme="minorHAnsi"/>
              </w:rPr>
              <w:t>(60%)</w:t>
            </w:r>
          </w:p>
        </w:tc>
      </w:tr>
      <w:tr w:rsidR="00A9077C" w:rsidRPr="004268D9" w:rsidTr="002846C5">
        <w:trPr>
          <w:trHeight w:val="147"/>
        </w:trPr>
        <w:tc>
          <w:tcPr>
            <w:tcW w:w="2301" w:type="pct"/>
            <w:vMerge/>
          </w:tcPr>
          <w:p w:rsidR="00A9077C" w:rsidRPr="004268D9" w:rsidRDefault="00A9077C" w:rsidP="00091C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</w:tcPr>
          <w:p w:rsidR="00A9077C" w:rsidRPr="004268D9" w:rsidRDefault="00A9077C" w:rsidP="004268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b/>
                <w:sz w:val="20"/>
                <w:szCs w:val="22"/>
              </w:rPr>
              <w:t>++</w:t>
            </w:r>
            <w:r w:rsidR="00137B4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="0091222A" w:rsidRPr="004268D9">
              <w:rPr>
                <w:rFonts w:asciiTheme="minorHAnsi" w:hAnsiTheme="minorHAnsi" w:cstheme="minorHAnsi"/>
                <w:b/>
                <w:sz w:val="20"/>
                <w:szCs w:val="22"/>
              </w:rPr>
              <w:t>+</w:t>
            </w:r>
            <w:r w:rsidR="00137B4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Pr="004268D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- </w:t>
            </w:r>
            <w:r w:rsidR="00137B4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/ </w:t>
            </w:r>
            <w:r w:rsidRPr="004268D9">
              <w:rPr>
                <w:rFonts w:asciiTheme="minorHAnsi" w:hAnsiTheme="minorHAnsi" w:cstheme="minorHAnsi"/>
                <w:b/>
                <w:sz w:val="20"/>
                <w:szCs w:val="22"/>
              </w:rPr>
              <w:t>- -</w:t>
            </w:r>
          </w:p>
        </w:tc>
        <w:tc>
          <w:tcPr>
            <w:tcW w:w="2238" w:type="pct"/>
            <w:vMerge/>
            <w:shd w:val="clear" w:color="auto" w:fill="D9D9D9" w:themeFill="background1" w:themeFillShade="D9"/>
          </w:tcPr>
          <w:p w:rsidR="00A9077C" w:rsidRPr="004268D9" w:rsidRDefault="00A9077C" w:rsidP="00091C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077C" w:rsidRPr="004268D9" w:rsidTr="002846C5">
        <w:trPr>
          <w:trHeight w:val="70"/>
        </w:trPr>
        <w:tc>
          <w:tcPr>
            <w:tcW w:w="2301" w:type="pct"/>
          </w:tcPr>
          <w:p w:rsidR="00A9077C" w:rsidRPr="00E10EB2" w:rsidRDefault="00A9077C" w:rsidP="00534A0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10E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Aufgabe 1</w:t>
            </w:r>
            <w:r w:rsidR="00C82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(AFB I)</w:t>
            </w:r>
          </w:p>
          <w:p w:rsidR="009B05ED" w:rsidRPr="004268D9" w:rsidRDefault="009B05ED" w:rsidP="00B25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Einleitung:</w:t>
            </w:r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bibliographische</w:t>
            </w:r>
            <w:r w:rsidR="00FA782F"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Angaben (Thema, Autor, Erscheinungsjahr)</w:t>
            </w:r>
          </w:p>
          <w:p w:rsidR="009B05ED" w:rsidRPr="004268D9" w:rsidRDefault="009B05ED" w:rsidP="004D28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b/>
                <w:sz w:val="22"/>
                <w:szCs w:val="22"/>
              </w:rPr>
              <w:t>Inhaltliche Hauptaspekte:</w:t>
            </w:r>
          </w:p>
          <w:p w:rsidR="009B05ED" w:rsidRPr="004268D9" w:rsidRDefault="004D2808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9B05ED" w:rsidRPr="004268D9">
              <w:rPr>
                <w:rFonts w:asciiTheme="minorHAnsi" w:hAnsiTheme="minorHAnsi" w:cstheme="minorHAnsi"/>
                <w:sz w:val="22"/>
                <w:szCs w:val="22"/>
              </w:rPr>
              <w:t>nfreundliche Reaktion des Busfahrers: Verweis auf Schild / Verbot der Unterhaltung mit dem Busfahrer</w:t>
            </w:r>
          </w:p>
          <w:p w:rsidR="009B05ED" w:rsidRPr="004268D9" w:rsidRDefault="009B05ED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Beschimpfung Meryems durch Busfahrer und ihre Reaktion darauf</w:t>
            </w:r>
          </w:p>
          <w:p w:rsidR="009B05ED" w:rsidRPr="004268D9" w:rsidRDefault="009B05ED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Meryems Gespräch mit dem freundlichen Fahrgast und </w:t>
            </w:r>
            <w:r w:rsidR="00F73990">
              <w:rPr>
                <w:rFonts w:asciiTheme="minorHAnsi" w:hAnsiTheme="minorHAnsi" w:cstheme="minorHAnsi"/>
                <w:sz w:val="22"/>
                <w:szCs w:val="22"/>
              </w:rPr>
              <w:t>dessen</w:t>
            </w: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Hilfe</w:t>
            </w:r>
          </w:p>
        </w:tc>
        <w:tc>
          <w:tcPr>
            <w:tcW w:w="460" w:type="pct"/>
          </w:tcPr>
          <w:p w:rsidR="00A9077C" w:rsidRPr="004268D9" w:rsidRDefault="00A9077C" w:rsidP="00534A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pct"/>
            <w:vMerge w:val="restart"/>
          </w:tcPr>
          <w:p w:rsidR="00962432" w:rsidRPr="004268D9" w:rsidRDefault="00A9077C" w:rsidP="00091C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68D9">
              <w:rPr>
                <w:rFonts w:asciiTheme="minorHAnsi" w:hAnsiTheme="minorHAnsi" w:cstheme="minorHAnsi"/>
                <w:sz w:val="18"/>
                <w:szCs w:val="18"/>
              </w:rPr>
              <w:t>Die Bewertung erfolgt orientiert an den in den Lehrplänen ausgewiesenen Referenzniveaus des Gemeinsamen europäischen Referenzrahmens (</w:t>
            </w:r>
            <w:proofErr w:type="spellStart"/>
            <w:r w:rsidRPr="004268D9">
              <w:rPr>
                <w:rFonts w:asciiTheme="minorHAnsi" w:hAnsiTheme="minorHAnsi" w:cstheme="minorHAnsi"/>
                <w:sz w:val="18"/>
                <w:szCs w:val="18"/>
              </w:rPr>
              <w:t>GeR</w:t>
            </w:r>
            <w:proofErr w:type="spellEnd"/>
            <w:r w:rsidRPr="004268D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37B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tbl>
            <w:tblPr>
              <w:tblStyle w:val="Tabellenraster"/>
              <w:tblW w:w="5000" w:type="pct"/>
              <w:tblLook w:val="04A0" w:firstRow="1" w:lastRow="0" w:firstColumn="1" w:lastColumn="0" w:noHBand="0" w:noVBand="1"/>
            </w:tblPr>
            <w:tblGrid>
              <w:gridCol w:w="463"/>
              <w:gridCol w:w="1816"/>
              <w:gridCol w:w="1668"/>
              <w:gridCol w:w="1396"/>
              <w:gridCol w:w="1422"/>
            </w:tblGrid>
            <w:tr w:rsidR="001A726D" w:rsidRPr="004268D9" w:rsidTr="004411C6">
              <w:tc>
                <w:tcPr>
                  <w:tcW w:w="342" w:type="pct"/>
                  <w:vMerge w:val="restart"/>
                  <w:tcBorders>
                    <w:bottom w:val="nil"/>
                  </w:tcBorders>
                  <w:shd w:val="clear" w:color="auto" w:fill="000000" w:themeFill="text1"/>
                </w:tcPr>
                <w:p w:rsidR="00A9077C" w:rsidRPr="004268D9" w:rsidRDefault="00062640" w:rsidP="00091C6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268D9">
                    <w:rPr>
                      <w:rFonts w:asciiTheme="minorHAnsi" w:hAnsiTheme="minorHAnsi" w:cstheme="minorHAnsi"/>
                      <w:b/>
                      <w:sz w:val="48"/>
                      <w:szCs w:val="48"/>
                    </w:rPr>
                    <w:t>+</w:t>
                  </w:r>
                </w:p>
              </w:tc>
              <w:tc>
                <w:tcPr>
                  <w:tcW w:w="1342" w:type="pct"/>
                  <w:vMerge w:val="restart"/>
                </w:tcPr>
                <w:p w:rsidR="00A9077C" w:rsidRPr="004268D9" w:rsidRDefault="00A9077C" w:rsidP="00137B4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Komm</w:t>
                  </w:r>
                  <w:r w:rsidR="00062640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 xml:space="preserve">. </w:t>
                  </w:r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Strategie / Präsentations-kompetenz</w:t>
                  </w:r>
                  <w:r w:rsidR="000527B5"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16" w:type="pct"/>
                  <w:gridSpan w:val="3"/>
                </w:tcPr>
                <w:p w:rsidR="00A9077C" w:rsidRPr="004268D9" w:rsidRDefault="00A9077C" w:rsidP="00137B4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 xml:space="preserve">Verfügbarkeit von sprachlichen Mitteln </w:t>
                  </w:r>
                  <w:r w:rsidR="00062640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u.</w:t>
                  </w:r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sprachl</w:t>
                  </w:r>
                  <w:proofErr w:type="spellEnd"/>
                  <w:r w:rsidR="00062640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 xml:space="preserve">. </w:t>
                  </w:r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Korrektheit</w:t>
                  </w:r>
                </w:p>
              </w:tc>
            </w:tr>
            <w:tr w:rsidR="00D5267D" w:rsidRPr="004268D9" w:rsidTr="004411C6">
              <w:tc>
                <w:tcPr>
                  <w:tcW w:w="342" w:type="pct"/>
                  <w:vMerge/>
                  <w:tcBorders>
                    <w:top w:val="nil"/>
                    <w:bottom w:val="nil"/>
                  </w:tcBorders>
                  <w:shd w:val="clear" w:color="auto" w:fill="000000" w:themeFill="text1"/>
                </w:tcPr>
                <w:p w:rsidR="00A9077C" w:rsidRPr="004268D9" w:rsidRDefault="00A9077C" w:rsidP="00091C6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42" w:type="pct"/>
                  <w:vMerge/>
                </w:tcPr>
                <w:p w:rsidR="00A9077C" w:rsidRPr="004268D9" w:rsidRDefault="00A9077C" w:rsidP="00137B4C">
                  <w:pPr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33" w:type="pct"/>
                </w:tcPr>
                <w:p w:rsidR="00A9077C" w:rsidRPr="00137B4C" w:rsidRDefault="00A9077C" w:rsidP="00137B4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Aussprache/ Intonation</w:t>
                  </w:r>
                  <w:r w:rsidR="000527B5"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032" w:type="pct"/>
                </w:tcPr>
                <w:p w:rsidR="00A9077C" w:rsidRPr="004268D9" w:rsidRDefault="00A9077C" w:rsidP="00137B4C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268D9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Wortschatz</w:t>
                  </w:r>
                  <w:r w:rsidR="000527B5" w:rsidRPr="004268D9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051" w:type="pct"/>
                </w:tcPr>
                <w:p w:rsidR="00A9077C" w:rsidRPr="004268D9" w:rsidRDefault="00A9077C" w:rsidP="00137B4C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268D9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Grammatische Strukturen</w:t>
                  </w:r>
                  <w:r w:rsidR="000527B5" w:rsidRPr="004268D9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D5267D" w:rsidRPr="004268D9" w:rsidTr="004411C6">
              <w:tc>
                <w:tcPr>
                  <w:tcW w:w="342" w:type="pct"/>
                  <w:tcBorders>
                    <w:top w:val="nil"/>
                    <w:bottom w:val="nil"/>
                  </w:tcBorders>
                  <w:shd w:val="clear" w:color="auto" w:fill="808080" w:themeFill="background1" w:themeFillShade="80"/>
                </w:tcPr>
                <w:p w:rsidR="00A9077C" w:rsidRPr="004268D9" w:rsidRDefault="001A726D" w:rsidP="00091C66">
                  <w:pPr>
                    <w:rPr>
                      <w:rFonts w:asciiTheme="minorHAnsi" w:hAnsiTheme="minorHAnsi" w:cstheme="minorHAnsi"/>
                      <w:b/>
                      <w:sz w:val="48"/>
                      <w:szCs w:val="48"/>
                    </w:rPr>
                  </w:pPr>
                  <w:r w:rsidRPr="004268D9">
                    <w:rPr>
                      <w:rFonts w:asciiTheme="minorHAnsi" w:hAnsiTheme="minorHAnsi" w:cstheme="minorHAnsi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13311060" wp14:editId="00C71638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239395</wp:posOffset>
                            </wp:positionV>
                            <wp:extent cx="0" cy="4210050"/>
                            <wp:effectExtent l="57150" t="38100" r="57150" b="57150"/>
                            <wp:wrapNone/>
                            <wp:docPr id="1" name="Gerader Verbinde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21005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arrow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r Verbinde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8.85pt" to="5.45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" strokecolor="black [3213]" strokeweight="2.25pt">
                            <v:stroke startarrow="open" endarrow="open"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342" w:type="pct"/>
                </w:tcPr>
                <w:p w:rsidR="00A9077C" w:rsidRPr="00D12320" w:rsidRDefault="00A9077C" w:rsidP="00A235D2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freier</w:t>
                  </w:r>
                  <w:r w:rsidR="00B11FAD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, flüssiger</w:t>
                  </w:r>
                  <w:r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</w:t>
                  </w:r>
                  <w:r w:rsidR="00047E0D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und strukturierter </w:t>
                  </w:r>
                  <w:r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Vortrag </w:t>
                  </w:r>
                  <w:r w:rsidR="00047E0D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mit eindeutigem Aufgabenbezug, ohne Redundanzen</w:t>
                  </w:r>
                  <w:r w:rsidR="00B11FAD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; geschickte </w:t>
                  </w:r>
                  <w:r w:rsidR="00E378F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Einleitung</w:t>
                  </w:r>
                  <w:r w:rsidR="00EE4299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und</w:t>
                  </w:r>
                  <w:r w:rsidR="00137B4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</w:t>
                  </w:r>
                  <w:r w:rsidR="00B11FAD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Verknüpfung der Teilaufgaben, gedanklich stringent</w:t>
                  </w:r>
                </w:p>
              </w:tc>
              <w:tc>
                <w:tcPr>
                  <w:tcW w:w="1233" w:type="pct"/>
                </w:tcPr>
                <w:p w:rsidR="00A9077C" w:rsidRPr="00D12320" w:rsidRDefault="000F3C7D" w:rsidP="00091C66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="00A9077C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7B2AE8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>klare, korrekte</w:t>
                  </w:r>
                  <w:r w:rsidR="00E378F5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>, nahezu authentische</w:t>
                  </w:r>
                  <w:r w:rsidR="007B2AE8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Aussprache und Intonation; Betonung / Intonation wird kommunikativ</w:t>
                  </w:r>
                  <w:r w:rsidR="00825241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7B2AE8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>geschickt eingesetzt</w:t>
                  </w:r>
                </w:p>
              </w:tc>
              <w:tc>
                <w:tcPr>
                  <w:tcW w:w="1032" w:type="pct"/>
                </w:tcPr>
                <w:p w:rsidR="00A9077C" w:rsidRPr="00D12320" w:rsidRDefault="000F3C7D" w:rsidP="0087702C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="00A9077C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präziser, differenzierter und variabler Wortschatz</w:t>
                  </w:r>
                  <w:r w:rsidR="00825241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; </w:t>
                  </w:r>
                  <w:r w:rsidR="00820303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z.T. Einsatz</w:t>
                  </w:r>
                  <w:r w:rsidR="00825241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idiomatischer Wendungen</w:t>
                  </w:r>
                </w:p>
                <w:p w:rsidR="00A9077C" w:rsidRPr="00D12320" w:rsidRDefault="00A9077C" w:rsidP="00091C66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</w:p>
              </w:tc>
              <w:tc>
                <w:tcPr>
                  <w:tcW w:w="1051" w:type="pct"/>
                </w:tcPr>
                <w:p w:rsidR="00A9077C" w:rsidRPr="00D12320" w:rsidRDefault="000F3C7D" w:rsidP="00091C66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breites und differenziertes Repertoire an </w:t>
                  </w:r>
                  <w:r w:rsidR="009013D8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grammatischen 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Strukturen; nahezu </w:t>
                  </w:r>
                  <w:r w:rsidR="004411C6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f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ehler</w:t>
                  </w:r>
                  <w:r w:rsidR="004411C6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frei</w:t>
                  </w:r>
                  <w:r w:rsidR="009013D8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; </w:t>
                  </w:r>
                  <w:r w:rsidR="004A190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überzeugende</w:t>
                  </w:r>
                  <w:r w:rsidR="009013D8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Selbstkorrektur</w:t>
                  </w:r>
                </w:p>
              </w:tc>
            </w:tr>
            <w:tr w:rsidR="00D5267D" w:rsidRPr="004268D9" w:rsidTr="004411C6">
              <w:tc>
                <w:tcPr>
                  <w:tcW w:w="342" w:type="pct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</w:tcPr>
                <w:p w:rsidR="00A9077C" w:rsidRPr="004268D9" w:rsidRDefault="00A9077C" w:rsidP="00091C6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2" w:type="pct"/>
                </w:tcPr>
                <w:p w:rsidR="00246BA9" w:rsidRDefault="000F3C7D" w:rsidP="00E378F5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="00A9077C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6807A1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weitgehend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</w:t>
                  </w:r>
                  <w:r w:rsidR="00B11FAD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freier, flüssiger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und strukturiert</w:t>
                  </w:r>
                  <w:r w:rsidR="00B11FAD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er Vortrag</w:t>
                  </w:r>
                  <w:r w:rsidR="002D7EDE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mit überzeugendem Aufgabenbezug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; </w:t>
                  </w:r>
                  <w:r w:rsidR="00E378F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Einleitung</w:t>
                  </w:r>
                  <w:r w:rsidR="008238B2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und</w:t>
                  </w:r>
                  <w:r w:rsidR="00137B4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</w:t>
                  </w:r>
                  <w:r w:rsidR="002D7EDE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Verknüpfung d</w:t>
                  </w:r>
                  <w:r w:rsidR="00F47100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. </w:t>
                  </w:r>
                  <w:r w:rsidR="002D7EDE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Teil</w:t>
                  </w:r>
                  <w:r w:rsidR="00F47100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-</w:t>
                  </w:r>
                  <w:r w:rsidR="002D7EDE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aufgaben</w:t>
                  </w:r>
                  <w:r w:rsidR="00E378F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, </w:t>
                  </w:r>
                  <w:r w:rsidR="00F47100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g</w:t>
                  </w:r>
                  <w:r w:rsidR="00E378F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edanklich weitgehend stringent</w:t>
                  </w:r>
                </w:p>
                <w:p w:rsidR="00D12320" w:rsidRPr="00D12320" w:rsidRDefault="00D12320" w:rsidP="00E378F5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</w:p>
              </w:tc>
              <w:tc>
                <w:tcPr>
                  <w:tcW w:w="1233" w:type="pct"/>
                </w:tcPr>
                <w:p w:rsidR="00A9077C" w:rsidRPr="00D12320" w:rsidRDefault="000F3C7D" w:rsidP="00091C66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="004D0215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CC079C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>überwiegend</w:t>
                  </w: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klare, korrekte Aussprache und Intonation; Betonung / Intonat</w:t>
                  </w:r>
                  <w:r w:rsidR="00E378F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ion wird kommunikativ </w:t>
                  </w:r>
                  <w:r w:rsidR="004D021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angemessen</w:t>
                  </w:r>
                  <w:r w:rsidR="00E378F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eingesetzt</w:t>
                  </w:r>
                </w:p>
              </w:tc>
              <w:tc>
                <w:tcPr>
                  <w:tcW w:w="1032" w:type="pct"/>
                </w:tcPr>
                <w:p w:rsidR="00A9077C" w:rsidRPr="00D12320" w:rsidRDefault="000F3C7D" w:rsidP="00936744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="00A9077C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820303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vorwiegend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treffende</w:t>
                  </w:r>
                  <w:r w:rsidR="00825241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r und differenzierter Wortschatz</w:t>
                  </w:r>
                </w:p>
              </w:tc>
              <w:tc>
                <w:tcPr>
                  <w:tcW w:w="1051" w:type="pct"/>
                </w:tcPr>
                <w:p w:rsidR="00A9077C" w:rsidRPr="00D12320" w:rsidRDefault="000F3C7D" w:rsidP="00091C66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="00A9077C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gefestigtes Repertoire </w:t>
                  </w:r>
                  <w:r w:rsidR="009013D8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grammatischer 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Strukturen; weitgehend frei von Verstößen; </w:t>
                  </w:r>
                  <w:r w:rsidR="004A190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zum Teil 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Selbstkorrektur</w:t>
                  </w:r>
                </w:p>
              </w:tc>
            </w:tr>
            <w:tr w:rsidR="00D5267D" w:rsidRPr="004268D9" w:rsidTr="004411C6">
              <w:tc>
                <w:tcPr>
                  <w:tcW w:w="342" w:type="pct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A9077C" w:rsidRPr="004268D9" w:rsidRDefault="00A9077C" w:rsidP="00091C6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2" w:type="pct"/>
                </w:tcPr>
                <w:p w:rsidR="00A9077C" w:rsidRPr="00D12320" w:rsidRDefault="000F3C7D" w:rsidP="000F3C7D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="00A9077C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762846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>meist</w:t>
                  </w:r>
                  <w:r w:rsidR="006F1F3B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strukturierter</w:t>
                  </w:r>
                  <w:r w:rsidR="00563252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>, teils stockender</w:t>
                  </w:r>
                  <w:r w:rsidR="006F1F3B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Vortrag; Aufgabenbezug </w:t>
                  </w:r>
                  <w:r w:rsidR="006A2E02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>im Ganzen</w:t>
                  </w:r>
                  <w:r w:rsidR="00B7772F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6F1F3B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>vorhanden</w:t>
                  </w:r>
                  <w:r w:rsidR="00762846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>; gedanklich nachvollziehbar</w:t>
                  </w:r>
                  <w:r w:rsidR="00B7772F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>; zum Teil Redundanzen</w:t>
                  </w:r>
                </w:p>
              </w:tc>
              <w:tc>
                <w:tcPr>
                  <w:tcW w:w="1233" w:type="pct"/>
                </w:tcPr>
                <w:p w:rsidR="00A9077C" w:rsidRPr="00D12320" w:rsidRDefault="000F3C7D" w:rsidP="00091C66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="00A9077C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4D0215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im Ganzen </w:t>
                  </w:r>
                  <w:r w:rsidR="009259E7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meist </w:t>
                  </w:r>
                  <w:r w:rsidR="00BC25E4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klare und </w:t>
                  </w:r>
                  <w:r w:rsidR="004D021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korrekte Aussprache</w:t>
                  </w:r>
                  <w:r w:rsidR="00BC25E4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, </w:t>
                  </w:r>
                  <w:r w:rsidR="004D021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Intonation</w:t>
                  </w:r>
                  <w:r w:rsidR="009259E7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und</w:t>
                  </w:r>
                  <w:r w:rsidR="004D021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Betonung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; Aussprachefehler beeinträchtigen </w:t>
                  </w:r>
                  <w:r w:rsidR="004D0215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das 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Verständnis</w:t>
                  </w:r>
                  <w:r w:rsidR="00A2728D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</w:t>
                  </w:r>
                  <w:r w:rsidR="00BC25E4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an wenigen Stellen</w:t>
                  </w:r>
                </w:p>
              </w:tc>
              <w:tc>
                <w:tcPr>
                  <w:tcW w:w="1032" w:type="pct"/>
                </w:tcPr>
                <w:p w:rsidR="00A9077C" w:rsidRPr="00D12320" w:rsidRDefault="000F3C7D" w:rsidP="0087702C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="00A9077C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FA6B14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im Ganzen </w:t>
                  </w:r>
                  <w:r w:rsidR="00CD559F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angemessen</w:t>
                  </w:r>
                  <w:r w:rsidR="00FA6B14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er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Wortschatz; </w:t>
                  </w:r>
                  <w:r w:rsidR="00FA6B14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teils Lücken, </w:t>
                  </w:r>
                  <w:r w:rsidR="00D5267D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teils </w:t>
                  </w:r>
                  <w:r w:rsidR="00A9077C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Wiederholungen</w:t>
                  </w:r>
                </w:p>
                <w:p w:rsidR="00A9077C" w:rsidRPr="00D12320" w:rsidRDefault="00A9077C" w:rsidP="00091C66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</w:p>
              </w:tc>
              <w:tc>
                <w:tcPr>
                  <w:tcW w:w="1051" w:type="pct"/>
                </w:tcPr>
                <w:p w:rsidR="00A9077C" w:rsidRPr="00D12320" w:rsidRDefault="000F3C7D" w:rsidP="00091C66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="00A9077C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1E719E"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>reduziertes, aber im Ganzen angemessenes</w:t>
                  </w:r>
                  <w:r w:rsidR="001E719E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Repertoire grammatischer Strukturen; </w:t>
                  </w:r>
                  <w:r w:rsidR="00161061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teils </w:t>
                  </w:r>
                  <w:r w:rsidR="001E719E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Verstöße</w:t>
                  </w:r>
                  <w:r w:rsidR="00161061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, Verständnis </w:t>
                  </w:r>
                  <w:r w:rsidR="00865476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nicht immer gegeben</w:t>
                  </w:r>
                </w:p>
              </w:tc>
            </w:tr>
            <w:tr w:rsidR="0073113C" w:rsidRPr="004268D9" w:rsidTr="00441A16">
              <w:trPr>
                <w:trHeight w:val="1094"/>
              </w:trPr>
              <w:tc>
                <w:tcPr>
                  <w:tcW w:w="342" w:type="pct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:rsidR="0073113C" w:rsidRPr="00441A16" w:rsidRDefault="0073113C" w:rsidP="00441A16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2" w:type="pct"/>
                  <w:vMerge w:val="restart"/>
                </w:tcPr>
                <w:p w:rsidR="0073113C" w:rsidRPr="00D12320" w:rsidRDefault="0073113C" w:rsidP="00091C66">
                  <w:pPr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wenig selbstständiger, </w:t>
                  </w:r>
                  <w:r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stockender und unsicherer Vortrag, </w:t>
                  </w:r>
                  <w:r w:rsidR="00E46E97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mangelnder</w:t>
                  </w:r>
                  <w:r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Aufgabenbezug; unstrukturiert</w:t>
                  </w:r>
                  <w:r w:rsidR="006A7640"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, </w:t>
                  </w:r>
                  <w:r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teils zusammenhangslos; Redundanzen</w:t>
                  </w:r>
                </w:p>
              </w:tc>
              <w:tc>
                <w:tcPr>
                  <w:tcW w:w="1233" w:type="pct"/>
                  <w:vMerge w:val="restart"/>
                </w:tcPr>
                <w:p w:rsidR="0073113C" w:rsidRPr="00D12320" w:rsidRDefault="0073113C" w:rsidP="00E378F5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Mängel in der Deutlichkeit und Klarheit des Vortrags; wiederholte Beeinträchtigung des Verständnisses aufgrund von Aussprachefehlern</w:t>
                  </w:r>
                </w:p>
              </w:tc>
              <w:tc>
                <w:tcPr>
                  <w:tcW w:w="1032" w:type="pct"/>
                  <w:vMerge w:val="restart"/>
                </w:tcPr>
                <w:p w:rsidR="0073113C" w:rsidRPr="00D12320" w:rsidRDefault="0073113C" w:rsidP="00091C66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einfacher, lückenhafter und </w:t>
                  </w:r>
                  <w:r w:rsidR="00CF5E7A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fehlerhafter</w:t>
                  </w:r>
                  <w:r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 xml:space="preserve"> Wortschatz; häufige Wiederholungen</w:t>
                  </w:r>
                </w:p>
              </w:tc>
              <w:tc>
                <w:tcPr>
                  <w:tcW w:w="1051" w:type="pct"/>
                  <w:vMerge w:val="restart"/>
                </w:tcPr>
                <w:p w:rsidR="0073113C" w:rsidRPr="00D12320" w:rsidRDefault="0073113C" w:rsidP="00091C66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sym w:font="Wingdings" w:char="F06F"/>
                  </w:r>
                  <w:r w:rsidRPr="00D12320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durchgängig fehlerhafte Verwendung  </w:t>
                  </w:r>
                  <w:r w:rsidRPr="00D12320">
                    <w:rPr>
                      <w:rFonts w:asciiTheme="minorHAnsi" w:eastAsia="Times New Roman" w:hAnsiTheme="minorHAnsi" w:cstheme="minorHAnsi"/>
                      <w:sz w:val="17"/>
                      <w:szCs w:val="17"/>
                    </w:rPr>
                    <w:t>grammatischer Strukturen, Verständnis deutlich beeinträchtigt</w:t>
                  </w:r>
                </w:p>
              </w:tc>
            </w:tr>
            <w:tr w:rsidR="0073113C" w:rsidRPr="004268D9" w:rsidTr="00087CA9">
              <w:trPr>
                <w:trHeight w:val="70"/>
              </w:trPr>
              <w:tc>
                <w:tcPr>
                  <w:tcW w:w="342" w:type="pct"/>
                  <w:tcBorders>
                    <w:top w:val="nil"/>
                  </w:tcBorders>
                </w:tcPr>
                <w:p w:rsidR="0073113C" w:rsidRPr="004268D9" w:rsidRDefault="0073113C" w:rsidP="0073113C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3113C">
                    <w:rPr>
                      <w:rFonts w:asciiTheme="minorHAnsi" w:hAnsiTheme="minorHAnsi" w:cstheme="minorHAnsi"/>
                      <w:b/>
                      <w:sz w:val="48"/>
                      <w:szCs w:val="48"/>
                    </w:rPr>
                    <w:t>-</w:t>
                  </w:r>
                </w:p>
              </w:tc>
              <w:tc>
                <w:tcPr>
                  <w:tcW w:w="1342" w:type="pct"/>
                  <w:vMerge/>
                </w:tcPr>
                <w:p w:rsidR="0073113C" w:rsidRPr="00137B4C" w:rsidRDefault="0073113C" w:rsidP="00091C66">
                  <w:pPr>
                    <w:rPr>
                      <w:rFonts w:asciiTheme="minorHAnsi" w:hAnsiTheme="minorHAnsi" w:cstheme="minorHAnsi"/>
                      <w:sz w:val="17"/>
                      <w:szCs w:val="15"/>
                    </w:rPr>
                  </w:pPr>
                </w:p>
              </w:tc>
              <w:tc>
                <w:tcPr>
                  <w:tcW w:w="1233" w:type="pct"/>
                  <w:vMerge/>
                </w:tcPr>
                <w:p w:rsidR="0073113C" w:rsidRPr="00137B4C" w:rsidRDefault="0073113C" w:rsidP="00E378F5">
                  <w:pPr>
                    <w:rPr>
                      <w:rFonts w:asciiTheme="minorHAnsi" w:hAnsiTheme="minorHAnsi" w:cstheme="minorHAnsi"/>
                      <w:sz w:val="17"/>
                      <w:szCs w:val="15"/>
                    </w:rPr>
                  </w:pPr>
                </w:p>
              </w:tc>
              <w:tc>
                <w:tcPr>
                  <w:tcW w:w="1032" w:type="pct"/>
                  <w:vMerge/>
                </w:tcPr>
                <w:p w:rsidR="0073113C" w:rsidRPr="00137B4C" w:rsidRDefault="0073113C" w:rsidP="00091C66">
                  <w:pPr>
                    <w:rPr>
                      <w:rFonts w:asciiTheme="minorHAnsi" w:hAnsiTheme="minorHAnsi" w:cstheme="minorHAnsi"/>
                      <w:sz w:val="17"/>
                      <w:szCs w:val="15"/>
                    </w:rPr>
                  </w:pPr>
                </w:p>
              </w:tc>
              <w:tc>
                <w:tcPr>
                  <w:tcW w:w="1051" w:type="pct"/>
                  <w:vMerge/>
                </w:tcPr>
                <w:p w:rsidR="0073113C" w:rsidRPr="00137B4C" w:rsidRDefault="0073113C" w:rsidP="00091C66">
                  <w:pPr>
                    <w:rPr>
                      <w:rFonts w:asciiTheme="minorHAnsi" w:hAnsiTheme="minorHAnsi" w:cstheme="minorHAnsi"/>
                      <w:sz w:val="17"/>
                      <w:szCs w:val="15"/>
                    </w:rPr>
                  </w:pPr>
                </w:p>
              </w:tc>
            </w:tr>
          </w:tbl>
          <w:p w:rsidR="00A9077C" w:rsidRPr="004268D9" w:rsidRDefault="000527B5" w:rsidP="00091C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268D9">
              <w:rPr>
                <w:rFonts w:asciiTheme="minorHAnsi" w:hAnsiTheme="minorHAnsi" w:cstheme="minorHAnsi"/>
                <w:sz w:val="12"/>
                <w:szCs w:val="16"/>
              </w:rPr>
              <w:t>* Die Kriterien in den Bereichen „kommunikative Strategie / Präsentationskompetenz“, „Wortschatz“ und „grammatische Strukturen“ werden bei der Bewertung der Gesamtleistung in einem höheren Maße gewichtet als „Aussprache und  Intonation.“</w:t>
            </w:r>
          </w:p>
        </w:tc>
      </w:tr>
      <w:tr w:rsidR="00A9077C" w:rsidRPr="004268D9" w:rsidTr="002846C5">
        <w:trPr>
          <w:trHeight w:val="3231"/>
        </w:trPr>
        <w:tc>
          <w:tcPr>
            <w:tcW w:w="2301" w:type="pct"/>
          </w:tcPr>
          <w:p w:rsidR="00A9077C" w:rsidRPr="00E10EB2" w:rsidRDefault="00A9077C" w:rsidP="004D280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10E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Aufgabe 2</w:t>
            </w:r>
            <w:r w:rsidR="00C82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(AFB I, II)</w:t>
            </w:r>
          </w:p>
          <w:p w:rsidR="009B05ED" w:rsidRPr="004268D9" w:rsidRDefault="0091222A" w:rsidP="004D2808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</w:pPr>
            <w:r w:rsidRP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  <w:t xml:space="preserve">untersucht </w:t>
            </w:r>
            <w:r w:rsidR="009B05ED" w:rsidRP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  <w:t>die Darstellung der unterschiedlichen Erfahrungen Meryems mit den beiden Spaniern</w:t>
            </w:r>
            <w:r w:rsid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  <w:t>.</w:t>
            </w:r>
          </w:p>
          <w:p w:rsidR="009D588D" w:rsidRPr="004268D9" w:rsidRDefault="009D588D" w:rsidP="004D2808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</w:pPr>
            <w:r w:rsidRPr="004268D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  <w:t>Negative Erfahrung</w:t>
            </w:r>
            <w:r w:rsidR="0091222A" w:rsidRPr="004268D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  <w:t>, z.B.</w:t>
            </w:r>
            <w:r w:rsidRPr="004268D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  <w:t>:</w:t>
            </w:r>
          </w:p>
          <w:p w:rsidR="009D588D" w:rsidRPr="004268D9" w:rsidRDefault="009D588D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unfreundliche Reaktion des Busfahrers auf Meryems Frage</w:t>
            </w:r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proofErr w:type="spellStart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>respondió</w:t>
            </w:r>
            <w:proofErr w:type="spellEnd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>gritando</w:t>
            </w:r>
            <w:proofErr w:type="spellEnd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>“)</w:t>
            </w:r>
          </w:p>
          <w:p w:rsidR="009D588D" w:rsidRPr="004268D9" w:rsidRDefault="009D588D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Beleidigung durch Busfahrer, indem er fragt, ob sie</w:t>
            </w:r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nicht lesen könne</w:t>
            </w:r>
          </w:p>
          <w:p w:rsidR="009D588D" w:rsidRPr="004268D9" w:rsidRDefault="009D588D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Drohung, sie </w:t>
            </w:r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>auf der Straße auszusetzen</w:t>
            </w:r>
          </w:p>
          <w:p w:rsidR="009D588D" w:rsidRPr="004268D9" w:rsidRDefault="009D588D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Beleidigung: </w:t>
            </w:r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>putos</w:t>
            </w:r>
            <w:proofErr w:type="spellEnd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moros“.</w:t>
            </w:r>
          </w:p>
          <w:p w:rsidR="009D588D" w:rsidRPr="004268D9" w:rsidRDefault="009D588D" w:rsidP="004D2808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</w:pPr>
            <w:r w:rsidRPr="004268D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  <w:t>Positive Erfahrung</w:t>
            </w:r>
            <w:r w:rsidR="0091222A" w:rsidRPr="004268D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="0091222A" w:rsidRPr="004268D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  <w:t>z.B</w:t>
            </w:r>
            <w:proofErr w:type="spellEnd"/>
            <w:r w:rsidRPr="004268D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  <w:t>:</w:t>
            </w:r>
          </w:p>
          <w:p w:rsidR="009D588D" w:rsidRPr="004268D9" w:rsidRDefault="004D2808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D588D" w:rsidRPr="004268D9">
              <w:rPr>
                <w:rFonts w:asciiTheme="minorHAnsi" w:hAnsiTheme="minorHAnsi" w:cstheme="minorHAnsi"/>
                <w:sz w:val="22"/>
                <w:szCs w:val="22"/>
              </w:rPr>
              <w:t>reundliches Verhalten des Fahrgasts</w:t>
            </w:r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D588D" w:rsidRPr="004268D9" w:rsidRDefault="009D588D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Unterhaltung zwischen Fahrgast und Meryem </w:t>
            </w:r>
            <w:r w:rsidRPr="004268D9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zeigt Empathie gegenüber Meryem und Verständnis</w:t>
            </w:r>
          </w:p>
          <w:p w:rsidR="009D588D" w:rsidRPr="004268D9" w:rsidRDefault="009D588D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zeigt sich freundlich und warmherzig gegenüber Meryem („</w:t>
            </w:r>
            <w:proofErr w:type="spellStart"/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esboz</w:t>
            </w:r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proofErr w:type="spellEnd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>una</w:t>
            </w:r>
            <w:proofErr w:type="spellEnd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>sonrisa</w:t>
            </w:r>
            <w:proofErr w:type="spellEnd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>respondía</w:t>
            </w:r>
            <w:proofErr w:type="spellEnd"/>
            <w:r w:rsidR="0091222A" w:rsidRPr="004268D9">
              <w:rPr>
                <w:rFonts w:asciiTheme="minorHAnsi" w:hAnsiTheme="minorHAnsi" w:cstheme="minorHAnsi"/>
                <w:sz w:val="22"/>
                <w:szCs w:val="22"/>
              </w:rPr>
              <w:t>“)</w:t>
            </w:r>
          </w:p>
          <w:p w:rsidR="009B05ED" w:rsidRPr="004268D9" w:rsidRDefault="003F1D25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D588D" w:rsidRPr="004268D9">
              <w:rPr>
                <w:rFonts w:asciiTheme="minorHAnsi" w:hAnsiTheme="minorHAnsi" w:cstheme="minorHAnsi"/>
                <w:sz w:val="22"/>
                <w:szCs w:val="22"/>
              </w:rPr>
              <w:t>ilfsbereitschaft des Fahrgasts, indem er Meryem den Weg erklärt</w:t>
            </w:r>
          </w:p>
        </w:tc>
        <w:tc>
          <w:tcPr>
            <w:tcW w:w="460" w:type="pct"/>
          </w:tcPr>
          <w:p w:rsidR="00A9077C" w:rsidRPr="004268D9" w:rsidRDefault="00A9077C" w:rsidP="00534A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pct"/>
            <w:vMerge/>
          </w:tcPr>
          <w:p w:rsidR="00A9077C" w:rsidRPr="004268D9" w:rsidRDefault="00A9077C" w:rsidP="00534A0B">
            <w:pPr>
              <w:rPr>
                <w:rFonts w:asciiTheme="minorHAnsi" w:hAnsiTheme="minorHAnsi" w:cstheme="minorHAnsi"/>
              </w:rPr>
            </w:pPr>
          </w:p>
        </w:tc>
      </w:tr>
      <w:tr w:rsidR="00A9077C" w:rsidRPr="004268D9" w:rsidTr="002846C5">
        <w:trPr>
          <w:trHeight w:val="2665"/>
        </w:trPr>
        <w:tc>
          <w:tcPr>
            <w:tcW w:w="2301" w:type="pct"/>
          </w:tcPr>
          <w:p w:rsidR="00A9077C" w:rsidRPr="00E10EB2" w:rsidRDefault="00A9077C" w:rsidP="005D681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10E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Aufgabe 3</w:t>
            </w:r>
            <w:r w:rsidR="00C829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(AFB II,II)</w:t>
            </w:r>
          </w:p>
          <w:p w:rsidR="00DC21F3" w:rsidRPr="004268D9" w:rsidRDefault="00DC21F3" w:rsidP="004D2808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</w:pPr>
            <w:r w:rsidRP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  <w:t xml:space="preserve">kommentiert </w:t>
            </w:r>
            <w:r w:rsidRP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u w:val="single"/>
                <w:lang w:eastAsia="de-DE"/>
              </w:rPr>
              <w:t>ausgehend von Meryems Fall</w:t>
            </w:r>
            <w:r w:rsidRP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  <w:t xml:space="preserve"> Kriterien für eine erfolgreiche Integration und geht dabei z. B. auf folgende Aspekte ein: </w:t>
            </w:r>
          </w:p>
          <w:p w:rsidR="00DC21F3" w:rsidRPr="004268D9" w:rsidRDefault="00DC21F3" w:rsidP="004D2808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</w:pPr>
            <w:r w:rsidRPr="004268D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  <w:t>von Seiten des Einwanderers</w:t>
            </w:r>
            <w:r w:rsidRP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  <w:t>:</w:t>
            </w:r>
          </w:p>
          <w:p w:rsidR="00B25012" w:rsidRPr="004268D9" w:rsidRDefault="00DC21F3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Bedeutung der Sprache für das Gelingen der Integration</w:t>
            </w:r>
            <w:r w:rsidR="008B5E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C21F3" w:rsidRPr="004268D9" w:rsidRDefault="00DC21F3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Offenheit, Bereitschaft zur Akzeptanz anderer Werte und Lebensformen, </w:t>
            </w:r>
            <w:r w:rsidR="00B240BF" w:rsidRPr="004268D9">
              <w:rPr>
                <w:rFonts w:asciiTheme="minorHAnsi" w:hAnsiTheme="minorHAnsi" w:cstheme="minorHAnsi"/>
                <w:sz w:val="22"/>
                <w:szCs w:val="22"/>
              </w:rPr>
              <w:t>Integrationsbereitschaft</w:t>
            </w: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 u.a.</w:t>
            </w:r>
          </w:p>
          <w:p w:rsidR="00DC21F3" w:rsidRPr="004268D9" w:rsidRDefault="00DC21F3" w:rsidP="004D2808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</w:pPr>
            <w:r w:rsidRPr="004268D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  <w:t>von Seiten der Aufnahmegesellschaft</w:t>
            </w:r>
            <w:r w:rsidRP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  <w:t>:</w:t>
            </w:r>
          </w:p>
          <w:p w:rsidR="009D588D" w:rsidRPr="004268D9" w:rsidRDefault="00DC21F3" w:rsidP="00F73990">
            <w:pPr>
              <w:pStyle w:val="Listenabsatz"/>
              <w:numPr>
                <w:ilvl w:val="0"/>
                <w:numId w:val="9"/>
              </w:numPr>
              <w:ind w:left="447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>Öffnung, Hilfestellung, Toleranz, Verständnis, Akzeptanz unter Wahrung der gesellschaftlichen Werte</w:t>
            </w:r>
            <w:r w:rsidR="00B25012"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268D9">
              <w:rPr>
                <w:rFonts w:asciiTheme="minorHAnsi" w:hAnsiTheme="minorHAnsi" w:cstheme="minorHAnsi"/>
                <w:sz w:val="22"/>
                <w:szCs w:val="22"/>
              </w:rPr>
              <w:t xml:space="preserve">wirtschaftliche </w:t>
            </w:r>
            <w:r w:rsidR="008B1525" w:rsidRPr="004268D9">
              <w:rPr>
                <w:rFonts w:asciiTheme="minorHAnsi" w:hAnsiTheme="minorHAnsi" w:cstheme="minorHAnsi"/>
                <w:sz w:val="22"/>
                <w:szCs w:val="22"/>
              </w:rPr>
              <w:t>Aspekte</w:t>
            </w:r>
            <w:r w:rsidR="00FC688B" w:rsidRPr="00426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C21F3" w:rsidRPr="004268D9" w:rsidRDefault="00A317AF" w:rsidP="00A522C6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</w:pPr>
            <w:r w:rsidRPr="004268D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  <w:t>Fazit:</w:t>
            </w:r>
            <w:r w:rsidR="00A522C6" w:rsidRPr="004268D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de-DE"/>
              </w:rPr>
              <w:t xml:space="preserve"> </w:t>
            </w:r>
            <w:proofErr w:type="gramStart"/>
            <w:r w:rsidR="00DC21F3" w:rsidRP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  <w:t>bündelt</w:t>
            </w:r>
            <w:proofErr w:type="gramEnd"/>
            <w:r w:rsidR="00DC21F3" w:rsidRP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de-DE"/>
              </w:rPr>
              <w:t xml:space="preserve"> seine Ergebnisse in einem Fazit mit </w:t>
            </w:r>
            <w:r w:rsidR="00DC21F3" w:rsidRP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u w:val="single"/>
                <w:lang w:eastAsia="de-DE"/>
              </w:rPr>
              <w:t>pers</w:t>
            </w:r>
            <w:r w:rsid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u w:val="single"/>
                <w:lang w:eastAsia="de-DE"/>
              </w:rPr>
              <w:t>.</w:t>
            </w:r>
            <w:r w:rsidR="00DC21F3" w:rsidRPr="004268D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u w:val="single"/>
                <w:lang w:eastAsia="de-DE"/>
              </w:rPr>
              <w:t xml:space="preserve"> Stellungnahme</w:t>
            </w:r>
          </w:p>
        </w:tc>
        <w:tc>
          <w:tcPr>
            <w:tcW w:w="460" w:type="pct"/>
          </w:tcPr>
          <w:p w:rsidR="00A9077C" w:rsidRPr="004268D9" w:rsidRDefault="00A9077C" w:rsidP="00534A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pct"/>
            <w:vMerge/>
          </w:tcPr>
          <w:p w:rsidR="00A9077C" w:rsidRPr="004268D9" w:rsidRDefault="00A9077C" w:rsidP="00534A0B">
            <w:pPr>
              <w:rPr>
                <w:rFonts w:asciiTheme="minorHAnsi" w:hAnsiTheme="minorHAnsi" w:cstheme="minorHAnsi"/>
              </w:rPr>
            </w:pPr>
          </w:p>
        </w:tc>
      </w:tr>
    </w:tbl>
    <w:p w:rsidR="003B73B4" w:rsidRDefault="003B73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D773AF" w:rsidRPr="004268D9" w:rsidRDefault="00D773AF" w:rsidP="004268D9">
      <w:pPr>
        <w:pStyle w:val="p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68D9">
        <w:rPr>
          <w:rFonts w:asciiTheme="minorHAnsi" w:hAnsiTheme="minorHAnsi" w:cstheme="minorHAnsi"/>
          <w:b/>
          <w:sz w:val="22"/>
          <w:szCs w:val="22"/>
        </w:rPr>
        <w:t>Zweiter</w:t>
      </w:r>
      <w:r w:rsidRPr="004268D9">
        <w:rPr>
          <w:rFonts w:asciiTheme="minorHAnsi" w:hAnsiTheme="minorHAnsi" w:cstheme="minorHAnsi"/>
          <w:sz w:val="22"/>
          <w:szCs w:val="22"/>
        </w:rPr>
        <w:t xml:space="preserve"> </w:t>
      </w:r>
      <w:r w:rsidRPr="004268D9">
        <w:rPr>
          <w:rFonts w:asciiTheme="minorHAnsi" w:hAnsiTheme="minorHAnsi" w:cstheme="minorHAnsi"/>
          <w:b/>
          <w:bCs/>
          <w:sz w:val="22"/>
          <w:szCs w:val="22"/>
        </w:rPr>
        <w:t xml:space="preserve">Prüfungsteil: fachliches Gespräch </w:t>
      </w:r>
      <w:r w:rsidRPr="004268D9">
        <w:rPr>
          <w:rFonts w:asciiTheme="minorHAnsi" w:hAnsiTheme="minorHAnsi" w:cstheme="minorHAnsi"/>
          <w:bCs/>
          <w:sz w:val="22"/>
          <w:szCs w:val="22"/>
        </w:rPr>
        <w:t>(an Gesprächen teilnehmen)</w:t>
      </w:r>
      <w:r w:rsidRPr="004268D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4268D9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276"/>
        <w:gridCol w:w="1134"/>
        <w:gridCol w:w="1275"/>
        <w:gridCol w:w="6890"/>
      </w:tblGrid>
      <w:tr w:rsidR="00A83169" w:rsidRPr="004268D9" w:rsidTr="007A393A">
        <w:trPr>
          <w:cantSplit/>
          <w:trHeight w:val="571"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:rsidR="00334825" w:rsidRPr="008C7919" w:rsidRDefault="00334825" w:rsidP="00263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7919">
              <w:rPr>
                <w:rFonts w:asciiTheme="minorHAnsi" w:hAnsiTheme="minorHAnsi" w:cstheme="minorHAnsi"/>
                <w:b/>
                <w:sz w:val="22"/>
                <w:szCs w:val="22"/>
              </w:rPr>
              <w:t>Inhaltliche Leistung / Aufgabenerfüllung</w:t>
            </w:r>
          </w:p>
          <w:p w:rsidR="00334825" w:rsidRPr="008C7919" w:rsidRDefault="00334825" w:rsidP="002636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919">
              <w:rPr>
                <w:rFonts w:asciiTheme="minorHAnsi" w:hAnsiTheme="minorHAnsi" w:cstheme="minorHAnsi"/>
                <w:sz w:val="22"/>
                <w:szCs w:val="22"/>
              </w:rPr>
              <w:t>(40%)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4825" w:rsidRPr="005957F1" w:rsidRDefault="00334825" w:rsidP="00A83169">
            <w:pPr>
              <w:contextualSpacing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Verfügen über das geforderte Sach- </w:t>
            </w:r>
            <w:r w:rsidR="007F77D3"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u. </w:t>
            </w:r>
            <w:r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>soziokulturelle Orientierungs</w:t>
            </w:r>
            <w:r w:rsidR="00A83169"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>-</w:t>
            </w:r>
            <w:r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>wissen</w:t>
            </w:r>
            <w:r w:rsidR="00C8296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(vorw. AFB I)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34825" w:rsidRPr="005957F1" w:rsidRDefault="00334825" w:rsidP="00A83169">
            <w:pPr>
              <w:contextualSpacing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>Differenziertheit des Verstehens und Darstellens; Vernetzung und Transfer</w:t>
            </w:r>
            <w:r w:rsidR="00C8296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(vorw. AFB II)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34825" w:rsidRPr="005957F1" w:rsidRDefault="00334825" w:rsidP="00A83169">
            <w:pPr>
              <w:contextualSpacing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>Problemlösung</w:t>
            </w:r>
            <w:r w:rsidR="001710D6"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>s-</w:t>
            </w:r>
            <w:r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7F77D3"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>u.</w:t>
            </w:r>
            <w:r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Urteilsfähigkeit, </w:t>
            </w:r>
            <w:r w:rsidR="00FB5ECD"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>u</w:t>
            </w:r>
            <w:r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.a. unter </w:t>
            </w:r>
            <w:r w:rsidR="00A83169" w:rsidRPr="005957F1">
              <w:rPr>
                <w:rFonts w:asciiTheme="minorHAnsi" w:hAnsiTheme="minorHAnsi" w:cstheme="minorHAnsi"/>
                <w:b/>
                <w:sz w:val="13"/>
                <w:szCs w:val="13"/>
              </w:rPr>
              <w:t>interkulturellen Aspekten</w:t>
            </w:r>
            <w:r w:rsidR="00C8296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(vorw. AFB III)</w:t>
            </w:r>
          </w:p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:rsidR="00334825" w:rsidRPr="008C7919" w:rsidRDefault="00334825" w:rsidP="00263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7919">
              <w:rPr>
                <w:rFonts w:asciiTheme="minorHAnsi" w:hAnsiTheme="minorHAnsi" w:cstheme="minorHAnsi"/>
                <w:b/>
                <w:sz w:val="22"/>
                <w:szCs w:val="22"/>
              </w:rPr>
              <w:t>Sprachliche Leistung / Darstellungsleistung</w:t>
            </w:r>
          </w:p>
          <w:p w:rsidR="00334825" w:rsidRPr="008C7919" w:rsidRDefault="00334825" w:rsidP="00263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7919">
              <w:rPr>
                <w:rFonts w:asciiTheme="minorHAnsi" w:hAnsiTheme="minorHAnsi" w:cstheme="minorHAnsi"/>
                <w:sz w:val="22"/>
                <w:szCs w:val="22"/>
              </w:rPr>
              <w:t>(60%)</w:t>
            </w:r>
          </w:p>
        </w:tc>
      </w:tr>
      <w:tr w:rsidR="00FB5ECD" w:rsidRPr="004268D9" w:rsidTr="007A393A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3169" w:rsidRPr="00C63420" w:rsidRDefault="00A83169" w:rsidP="008752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34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Erster inhaltlicher Schwerpunkt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3169" w:rsidRPr="00C63420" w:rsidRDefault="00A83169" w:rsidP="008752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3420">
              <w:rPr>
                <w:rFonts w:asciiTheme="minorHAnsi" w:hAnsiTheme="minorHAnsi" w:cstheme="minorHAnsi"/>
                <w:b/>
                <w:sz w:val="18"/>
                <w:szCs w:val="18"/>
              </w:rPr>
              <w:t>Aspekte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83169" w:rsidRPr="00FB5ECD" w:rsidRDefault="00A83169" w:rsidP="00D6555C">
            <w:pPr>
              <w:jc w:val="center"/>
              <w:rPr>
                <w:rFonts w:asciiTheme="minorHAnsi" w:hAnsiTheme="minorHAnsi" w:cstheme="minorHAnsi"/>
              </w:rPr>
            </w:pPr>
            <w:r w:rsidRPr="00FB5ECD">
              <w:rPr>
                <w:rFonts w:asciiTheme="minorHAnsi" w:hAnsiTheme="minorHAnsi" w:cstheme="minorHAnsi"/>
              </w:rPr>
              <w:t>+</w:t>
            </w:r>
            <w:r w:rsidR="00CC46A6" w:rsidRPr="00FB5ECD">
              <w:rPr>
                <w:rFonts w:asciiTheme="minorHAnsi" w:hAnsiTheme="minorHAnsi" w:cstheme="minorHAnsi"/>
              </w:rPr>
              <w:t xml:space="preserve"> </w:t>
            </w:r>
            <w:r w:rsidR="00723DAF" w:rsidRPr="00FB5ECD">
              <w:rPr>
                <w:rFonts w:asciiTheme="minorHAnsi" w:hAnsiTheme="minorHAnsi" w:cstheme="minorHAnsi"/>
              </w:rPr>
              <w:t xml:space="preserve">  </w:t>
            </w:r>
            <w:r w:rsidR="00723DAF" w:rsidRPr="00FB5ECD">
              <w:rPr>
                <w:rFonts w:asciiTheme="minorHAnsi" w:hAnsiTheme="minorHAnsi" w:cstheme="minorHAnsi"/>
              </w:rPr>
              <w:sym w:font="Wingdings 3" w:char="F031"/>
            </w:r>
            <w:r w:rsidR="00CC46A6" w:rsidRPr="00FB5ECD">
              <w:rPr>
                <w:rFonts w:asciiTheme="minorHAnsi" w:hAnsiTheme="minorHAnsi" w:cstheme="minorHAnsi"/>
              </w:rPr>
              <w:t xml:space="preserve"> </w:t>
            </w:r>
            <w:r w:rsidR="00723DAF" w:rsidRPr="00FB5ECD">
              <w:rPr>
                <w:rFonts w:asciiTheme="minorHAnsi" w:hAnsiTheme="minorHAnsi" w:cstheme="minorHAnsi"/>
              </w:rPr>
              <w:t xml:space="preserve">   </w:t>
            </w:r>
            <w:r w:rsidRPr="00FB5ECD">
              <w:rPr>
                <w:rFonts w:asciiTheme="minorHAnsi" w:hAnsiTheme="minorHAnsi" w:cstheme="minorHAnsi"/>
                <w:sz w:val="3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3169" w:rsidRPr="00FB5ECD" w:rsidRDefault="00723DAF" w:rsidP="00D6555C">
            <w:pPr>
              <w:jc w:val="center"/>
              <w:rPr>
                <w:rFonts w:asciiTheme="minorHAnsi" w:hAnsiTheme="minorHAnsi" w:cstheme="minorHAnsi"/>
              </w:rPr>
            </w:pPr>
            <w:r w:rsidRPr="00FB5ECD">
              <w:rPr>
                <w:rFonts w:asciiTheme="minorHAnsi" w:hAnsiTheme="minorHAnsi" w:cstheme="minorHAnsi"/>
              </w:rPr>
              <w:t xml:space="preserve">+   </w:t>
            </w:r>
            <w:r w:rsidRPr="00FB5ECD">
              <w:rPr>
                <w:rFonts w:asciiTheme="minorHAnsi" w:hAnsiTheme="minorHAnsi" w:cstheme="minorHAnsi"/>
              </w:rPr>
              <w:sym w:font="Wingdings 3" w:char="F031"/>
            </w:r>
            <w:r w:rsidRPr="00FB5ECD">
              <w:rPr>
                <w:rFonts w:asciiTheme="minorHAnsi" w:hAnsiTheme="minorHAnsi" w:cstheme="minorHAnsi"/>
              </w:rPr>
              <w:t xml:space="preserve">    </w:t>
            </w:r>
            <w:r w:rsidRPr="00FB5ECD">
              <w:rPr>
                <w:rFonts w:asciiTheme="minorHAnsi" w:hAnsiTheme="minorHAnsi" w:cstheme="minorHAnsi"/>
                <w:sz w:val="30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83169" w:rsidRPr="00FB5ECD" w:rsidRDefault="00723DAF" w:rsidP="00D6555C">
            <w:pPr>
              <w:jc w:val="center"/>
              <w:rPr>
                <w:rFonts w:asciiTheme="minorHAnsi" w:hAnsiTheme="minorHAnsi" w:cstheme="minorHAnsi"/>
              </w:rPr>
            </w:pPr>
            <w:r w:rsidRPr="00FB5ECD">
              <w:rPr>
                <w:rFonts w:asciiTheme="minorHAnsi" w:hAnsiTheme="minorHAnsi" w:cstheme="minorHAnsi"/>
              </w:rPr>
              <w:t xml:space="preserve">+   </w:t>
            </w:r>
            <w:r w:rsidRPr="00FB5ECD">
              <w:rPr>
                <w:rFonts w:asciiTheme="minorHAnsi" w:hAnsiTheme="minorHAnsi" w:cstheme="minorHAnsi"/>
              </w:rPr>
              <w:sym w:font="Wingdings 3" w:char="F031"/>
            </w:r>
            <w:r w:rsidRPr="00FB5ECD">
              <w:rPr>
                <w:rFonts w:asciiTheme="minorHAnsi" w:hAnsiTheme="minorHAnsi" w:cstheme="minorHAnsi"/>
              </w:rPr>
              <w:t xml:space="preserve">    </w:t>
            </w:r>
            <w:r w:rsidRPr="00FB5ECD">
              <w:rPr>
                <w:rFonts w:asciiTheme="minorHAnsi" w:hAnsiTheme="minorHAnsi" w:cstheme="minorHAnsi"/>
                <w:sz w:val="30"/>
              </w:rPr>
              <w:t>-</w:t>
            </w:r>
          </w:p>
        </w:tc>
        <w:tc>
          <w:tcPr>
            <w:tcW w:w="6890" w:type="dxa"/>
            <w:vMerge w:val="restart"/>
          </w:tcPr>
          <w:p w:rsidR="00A83169" w:rsidRPr="004268D9" w:rsidRDefault="00A83169" w:rsidP="00875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68D9">
              <w:rPr>
                <w:rFonts w:asciiTheme="minorHAnsi" w:hAnsiTheme="minorHAnsi" w:cstheme="minorHAnsi"/>
                <w:sz w:val="18"/>
                <w:szCs w:val="18"/>
              </w:rPr>
              <w:t>Die Bewertung erfolgt orientiert an den in den Lehrplänen ausgewiesenen Referenzniveaus des Gemeinsamen europäischen Referenzrahmens (</w:t>
            </w:r>
            <w:proofErr w:type="spellStart"/>
            <w:r w:rsidRPr="004268D9">
              <w:rPr>
                <w:rFonts w:asciiTheme="minorHAnsi" w:hAnsiTheme="minorHAnsi" w:cstheme="minorHAnsi"/>
                <w:sz w:val="18"/>
                <w:szCs w:val="18"/>
              </w:rPr>
              <w:t>GeR</w:t>
            </w:r>
            <w:proofErr w:type="spellEnd"/>
            <w:r w:rsidRPr="004268D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tbl>
            <w:tblPr>
              <w:tblStyle w:val="Tabellenraster"/>
              <w:tblW w:w="6836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1701"/>
              <w:gridCol w:w="1701"/>
              <w:gridCol w:w="1418"/>
              <w:gridCol w:w="1559"/>
            </w:tblGrid>
            <w:tr w:rsidR="00A83169" w:rsidRPr="004268D9" w:rsidTr="0038473C">
              <w:tc>
                <w:tcPr>
                  <w:tcW w:w="457" w:type="dxa"/>
                  <w:vMerge w:val="restart"/>
                  <w:tcBorders>
                    <w:bottom w:val="nil"/>
                  </w:tcBorders>
                  <w:shd w:val="clear" w:color="auto" w:fill="000000" w:themeFill="text1"/>
                </w:tcPr>
                <w:p w:rsidR="00A83169" w:rsidRPr="004268D9" w:rsidRDefault="007F77D3" w:rsidP="0038473C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268D9">
                    <w:rPr>
                      <w:rFonts w:asciiTheme="minorHAnsi" w:hAnsiTheme="minorHAnsi" w:cstheme="minorHAnsi"/>
                      <w:b/>
                      <w:sz w:val="48"/>
                      <w:szCs w:val="48"/>
                    </w:rPr>
                    <w:t>+</w:t>
                  </w:r>
                </w:p>
              </w:tc>
              <w:tc>
                <w:tcPr>
                  <w:tcW w:w="1701" w:type="dxa"/>
                  <w:vMerge w:val="restart"/>
                </w:tcPr>
                <w:p w:rsidR="00A83169" w:rsidRPr="004268D9" w:rsidRDefault="00A83169" w:rsidP="007F77D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Komm</w:t>
                  </w:r>
                  <w:r w:rsidR="007F77D3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 xml:space="preserve">. </w:t>
                  </w:r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 xml:space="preserve"> Strategie / </w:t>
                  </w:r>
                  <w:r w:rsidR="00111129"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Diskurskompetenz</w:t>
                  </w:r>
                  <w:r w:rsidR="000527B5"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678" w:type="dxa"/>
                  <w:gridSpan w:val="3"/>
                </w:tcPr>
                <w:p w:rsidR="00A83169" w:rsidRPr="004268D9" w:rsidRDefault="00A83169" w:rsidP="007F77D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 xml:space="preserve">Verfügbarkeit von sprachlichen Mitteln </w:t>
                  </w:r>
                  <w:r w:rsidR="007F77D3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u.</w:t>
                  </w:r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sprach</w:t>
                  </w:r>
                  <w:r w:rsidR="007F77D3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l</w:t>
                  </w:r>
                  <w:proofErr w:type="spellEnd"/>
                  <w:r w:rsidR="007F77D3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 xml:space="preserve">. </w:t>
                  </w:r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Korrektheit</w:t>
                  </w:r>
                </w:p>
              </w:tc>
            </w:tr>
            <w:tr w:rsidR="00A83169" w:rsidRPr="004268D9" w:rsidTr="00896563">
              <w:tc>
                <w:tcPr>
                  <w:tcW w:w="457" w:type="dxa"/>
                  <w:vMerge/>
                  <w:tcBorders>
                    <w:top w:val="nil"/>
                    <w:bottom w:val="nil"/>
                  </w:tcBorders>
                  <w:shd w:val="clear" w:color="auto" w:fill="000000" w:themeFill="text1"/>
                </w:tcPr>
                <w:p w:rsidR="00A83169" w:rsidRPr="004268D9" w:rsidRDefault="00A83169" w:rsidP="0038473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A83169" w:rsidRPr="007F77D3" w:rsidRDefault="00A83169" w:rsidP="007F77D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A83169" w:rsidRPr="007F77D3" w:rsidRDefault="00A83169" w:rsidP="007F77D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Aussprache/ Intonation</w:t>
                  </w:r>
                  <w:r w:rsidR="000527B5" w:rsidRPr="004268D9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18" w:type="dxa"/>
                </w:tcPr>
                <w:p w:rsidR="00A83169" w:rsidRPr="007F77D3" w:rsidRDefault="00A83169" w:rsidP="007F77D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7F77D3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Wortschatz</w:t>
                  </w:r>
                  <w:r w:rsidR="000527B5" w:rsidRPr="007F77D3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59" w:type="dxa"/>
                </w:tcPr>
                <w:p w:rsidR="00A83169" w:rsidRPr="007F77D3" w:rsidRDefault="00A83169" w:rsidP="007F77D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7F77D3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Grammatische Strukturen</w:t>
                  </w:r>
                  <w:r w:rsidR="000527B5" w:rsidRPr="007F77D3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355D0D" w:rsidRPr="004268D9" w:rsidTr="00896563">
              <w:tc>
                <w:tcPr>
                  <w:tcW w:w="457" w:type="dxa"/>
                  <w:tcBorders>
                    <w:top w:val="nil"/>
                    <w:bottom w:val="nil"/>
                  </w:tcBorders>
                  <w:shd w:val="clear" w:color="auto" w:fill="808080" w:themeFill="background1" w:themeFillShade="80"/>
                </w:tcPr>
                <w:p w:rsidR="00355D0D" w:rsidRPr="004268D9" w:rsidRDefault="00355D0D" w:rsidP="0038473C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355D0D" w:rsidRPr="00087CA9" w:rsidRDefault="00355D0D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sichere und flexible, situations</w:t>
                  </w:r>
                  <w:r w:rsidR="00AF0E81"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angemessene Interaktion; ggf. gelungener Einsatz von Kompensations</w:t>
                  </w:r>
                  <w:r w:rsidR="00AF0E81"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strategien/</w:t>
                  </w:r>
                  <w:r w:rsidR="00AF0E81"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>Rückfragen</w:t>
                  </w:r>
                </w:p>
                <w:p w:rsidR="003C33CA" w:rsidRPr="00087CA9" w:rsidRDefault="003C33CA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5D0D" w:rsidRPr="00087CA9" w:rsidRDefault="00355D0D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klare, korrekte, nahezu authentische Aussprache und Intonation; Betonung / Intonation wird kommunikativ geschickt eingesetzt</w:t>
                  </w:r>
                </w:p>
              </w:tc>
              <w:tc>
                <w:tcPr>
                  <w:tcW w:w="1418" w:type="dxa"/>
                </w:tcPr>
                <w:p w:rsidR="00355D0D" w:rsidRPr="00087CA9" w:rsidRDefault="00355D0D" w:rsidP="00355D0D">
                  <w:p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präziser, differenzierter und variabler Wortschatz; z.T. Einsatz idiomatischer Wendungen</w:t>
                  </w:r>
                </w:p>
                <w:p w:rsidR="00355D0D" w:rsidRPr="00087CA9" w:rsidRDefault="00355D0D" w:rsidP="00355D0D">
                  <w:p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355D0D" w:rsidRPr="00087CA9" w:rsidRDefault="00355D0D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breites und differenziertes Repertoire an grammatischen Strukturen; nahezu fehlerfrei; überzeugende Selbstkorrektur</w:t>
                  </w:r>
                </w:p>
              </w:tc>
            </w:tr>
            <w:tr w:rsidR="00355D0D" w:rsidRPr="004268D9" w:rsidTr="00896563">
              <w:tc>
                <w:tcPr>
                  <w:tcW w:w="457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</w:tcPr>
                <w:p w:rsidR="00355D0D" w:rsidRPr="004268D9" w:rsidRDefault="0038473C" w:rsidP="0038473C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268D9">
                    <w:rPr>
                      <w:rFonts w:asciiTheme="minorHAnsi" w:hAnsiTheme="minorHAnsi" w:cstheme="minorHAnsi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51F66EB0" wp14:editId="2C3DE691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-1096645</wp:posOffset>
                            </wp:positionV>
                            <wp:extent cx="9525" cy="4371975"/>
                            <wp:effectExtent l="114300" t="38100" r="104775" b="47625"/>
                            <wp:wrapNone/>
                            <wp:docPr id="2" name="Gerader Verbinde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4371975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arrow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r Verbinder 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-86.35pt" to="5.45pt,2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" strokecolor="black [3213]" strokeweight="2.25pt">
                            <v:stroke startarrow="open" endarrow="open"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355D0D" w:rsidRPr="00087CA9" w:rsidRDefault="00355D0D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weitgehend sichere und flexible Interaktion; ggf. Einsatz von Kompensations</w:t>
                  </w:r>
                  <w:r w:rsidR="00AF0E81"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strategien/</w:t>
                  </w:r>
                  <w:r w:rsidR="00AF0E81"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>Rückfragen</w:t>
                  </w:r>
                </w:p>
                <w:p w:rsidR="00E06F4B" w:rsidRPr="00087CA9" w:rsidRDefault="00E06F4B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355D0D" w:rsidRPr="00087CA9" w:rsidRDefault="00355D0D" w:rsidP="00355D0D">
                  <w:p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DE5E92" w:rsidRPr="00DE5E9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überwiegend </w:t>
                  </w:r>
                  <w:r w:rsidR="00DE5E92" w:rsidRPr="00DE5E9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klare, korrekte Aussprache und Intonation; Betonung / Intonation wird komm</w:t>
                  </w:r>
                  <w:r w:rsidR="00DE5E9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. </w:t>
                  </w:r>
                  <w:r w:rsidR="00DE5E92" w:rsidRPr="00DE5E92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angemessen eingesetzt</w:t>
                  </w:r>
                </w:p>
              </w:tc>
              <w:tc>
                <w:tcPr>
                  <w:tcW w:w="1418" w:type="dxa"/>
                </w:tcPr>
                <w:p w:rsidR="00355D0D" w:rsidRPr="00087CA9" w:rsidRDefault="00355D0D" w:rsidP="00355D0D">
                  <w:p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vorwiegend treffender und differenzierter Wortschatz</w:t>
                  </w:r>
                </w:p>
              </w:tc>
              <w:tc>
                <w:tcPr>
                  <w:tcW w:w="1559" w:type="dxa"/>
                </w:tcPr>
                <w:p w:rsidR="00355D0D" w:rsidRPr="00087CA9" w:rsidRDefault="00355D0D" w:rsidP="00355D0D">
                  <w:p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gefestigtes Repertoire grammatischer Strukturen; weitgehend frei von Verstößen; zum Teil Selbstkorrektur</w:t>
                  </w:r>
                </w:p>
              </w:tc>
            </w:tr>
            <w:tr w:rsidR="00355D0D" w:rsidRPr="004268D9" w:rsidTr="00896563">
              <w:trPr>
                <w:trHeight w:val="1421"/>
              </w:trPr>
              <w:tc>
                <w:tcPr>
                  <w:tcW w:w="457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355D0D" w:rsidRPr="004268D9" w:rsidRDefault="00355D0D" w:rsidP="0038473C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355D0D" w:rsidRPr="00087CA9" w:rsidRDefault="00355D0D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="0033189B"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zum Teil stockende und unsichere</w:t>
                  </w:r>
                  <w:r w:rsidR="0033189B"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>, aber im Ganzen angemessene</w:t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Interaktion; Einhilfen ggf. erforderlich</w:t>
                  </w:r>
                </w:p>
              </w:tc>
              <w:tc>
                <w:tcPr>
                  <w:tcW w:w="1701" w:type="dxa"/>
                </w:tcPr>
                <w:p w:rsidR="00E06F4B" w:rsidRPr="00087CA9" w:rsidRDefault="00355D0D" w:rsidP="00355D0D">
                  <w:p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im Ganzen meist klare und </w:t>
                  </w:r>
                  <w:r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korrekte Aussprache, Intonation und Betonung; Aussprachefehler beeinträchtigen das Verständnis an wenigen Stellen</w:t>
                  </w:r>
                </w:p>
              </w:tc>
              <w:tc>
                <w:tcPr>
                  <w:tcW w:w="1418" w:type="dxa"/>
                </w:tcPr>
                <w:p w:rsidR="00355D0D" w:rsidRPr="00087CA9" w:rsidRDefault="00355D0D" w:rsidP="00355D0D">
                  <w:pP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im Ganzen </w:t>
                  </w:r>
                  <w:r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angemessener Wortschatz; teils Lücken, teils Wieder</w:t>
                  </w:r>
                  <w:r w:rsidR="006A31D5"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  <w:proofErr w:type="spellStart"/>
                  <w:r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holungen</w:t>
                  </w:r>
                  <w:proofErr w:type="spellEnd"/>
                </w:p>
                <w:p w:rsidR="00355D0D" w:rsidRPr="00087CA9" w:rsidRDefault="00355D0D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355D0D" w:rsidRPr="00087CA9" w:rsidRDefault="00355D0D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reduziertes, aber im Ganzen angemessenes</w:t>
                  </w:r>
                  <w:r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Repertoire grammatischer Strukturen; teils Verstöße, Verständnis </w:t>
                  </w:r>
                  <w:r w:rsidR="000C3245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nicht immer gegeben</w:t>
                  </w:r>
                </w:p>
              </w:tc>
            </w:tr>
            <w:tr w:rsidR="0033189B" w:rsidRPr="004268D9" w:rsidTr="00896563">
              <w:trPr>
                <w:trHeight w:val="1412"/>
              </w:trPr>
              <w:tc>
                <w:tcPr>
                  <w:tcW w:w="45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:rsidR="0033189B" w:rsidRPr="004268D9" w:rsidRDefault="0033189B" w:rsidP="0038473C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33189B" w:rsidRPr="00087CA9" w:rsidRDefault="0033189B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unsichere und stockende Interaktion; ohne wiederholte Einhilfen kann das Prüfungsgespräch nicht aufrecht erhalten werden</w:t>
                  </w:r>
                </w:p>
              </w:tc>
              <w:tc>
                <w:tcPr>
                  <w:tcW w:w="1701" w:type="dxa"/>
                  <w:vMerge w:val="restart"/>
                </w:tcPr>
                <w:p w:rsidR="003F1D25" w:rsidRPr="00087CA9" w:rsidRDefault="0033189B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Mängel in der Deutlichkeit und Klarheit des Vortrags; wiederholte Beeinträchtigung des Verständnisses aufgrund von Aussprachefehlern</w:t>
                  </w:r>
                </w:p>
              </w:tc>
              <w:tc>
                <w:tcPr>
                  <w:tcW w:w="1418" w:type="dxa"/>
                  <w:vMerge w:val="restart"/>
                </w:tcPr>
                <w:p w:rsidR="0033189B" w:rsidRPr="00087CA9" w:rsidRDefault="0033189B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einfacher, lückenhafter und </w:t>
                  </w:r>
                  <w:r w:rsidR="00CF5E7A" w:rsidRPr="00CF5E7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fehlerhafter </w:t>
                  </w:r>
                  <w:r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Wortschatz; häufige Wieder</w:t>
                  </w:r>
                  <w:r w:rsidR="0073113C"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-</w:t>
                  </w:r>
                  <w:proofErr w:type="spellStart"/>
                  <w:r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holungen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</w:tcPr>
                <w:p w:rsidR="0033189B" w:rsidRPr="00087CA9" w:rsidRDefault="0033189B" w:rsidP="00355D0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sym w:font="Wingdings" w:char="F06F"/>
                  </w:r>
                  <w:r w:rsidRPr="00087CA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durchgängig fehlerhafte Verwendung  </w:t>
                  </w:r>
                  <w:r w:rsidRPr="00087CA9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grammatischer Strukturen, Verständnis deutlich beeinträchtigt</w:t>
                  </w:r>
                </w:p>
              </w:tc>
            </w:tr>
            <w:tr w:rsidR="0033189B" w:rsidRPr="004268D9" w:rsidTr="00896563">
              <w:trPr>
                <w:trHeight w:val="70"/>
              </w:trPr>
              <w:tc>
                <w:tcPr>
                  <w:tcW w:w="457" w:type="dxa"/>
                  <w:tcBorders>
                    <w:top w:val="nil"/>
                  </w:tcBorders>
                </w:tcPr>
                <w:p w:rsidR="0033189B" w:rsidRPr="004268D9" w:rsidRDefault="0033189B" w:rsidP="0038473C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8"/>
                      <w:szCs w:val="48"/>
                    </w:rPr>
                    <w:t>-</w:t>
                  </w:r>
                </w:p>
              </w:tc>
              <w:tc>
                <w:tcPr>
                  <w:tcW w:w="1701" w:type="dxa"/>
                  <w:vMerge/>
                </w:tcPr>
                <w:p w:rsidR="0033189B" w:rsidRPr="007F77D3" w:rsidRDefault="0033189B" w:rsidP="00355D0D">
                  <w:pPr>
                    <w:rPr>
                      <w:rFonts w:asciiTheme="minorHAnsi" w:hAnsiTheme="minorHAnsi" w:cstheme="minorHAnsi"/>
                      <w:sz w:val="17"/>
                      <w:szCs w:val="15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3189B" w:rsidRPr="00137B4C" w:rsidRDefault="0033189B" w:rsidP="00355D0D">
                  <w:pPr>
                    <w:rPr>
                      <w:rFonts w:asciiTheme="minorHAnsi" w:hAnsiTheme="minorHAnsi" w:cstheme="minorHAnsi"/>
                      <w:sz w:val="17"/>
                      <w:szCs w:val="15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3189B" w:rsidRPr="00137B4C" w:rsidRDefault="0033189B" w:rsidP="00355D0D">
                  <w:pPr>
                    <w:rPr>
                      <w:rFonts w:asciiTheme="minorHAnsi" w:hAnsiTheme="minorHAnsi" w:cstheme="minorHAnsi"/>
                      <w:sz w:val="17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189B" w:rsidRPr="00137B4C" w:rsidRDefault="0033189B" w:rsidP="00355D0D">
                  <w:pPr>
                    <w:rPr>
                      <w:rFonts w:asciiTheme="minorHAnsi" w:hAnsiTheme="minorHAnsi" w:cstheme="minorHAnsi"/>
                      <w:sz w:val="17"/>
                      <w:szCs w:val="15"/>
                    </w:rPr>
                  </w:pPr>
                </w:p>
              </w:tc>
            </w:tr>
          </w:tbl>
          <w:p w:rsidR="000527B5" w:rsidRPr="007F77D3" w:rsidRDefault="000527B5" w:rsidP="000527B5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D0215">
              <w:rPr>
                <w:rFonts w:asciiTheme="minorHAnsi" w:hAnsiTheme="minorHAnsi" w:cstheme="minorHAnsi"/>
                <w:sz w:val="12"/>
                <w:szCs w:val="12"/>
              </w:rPr>
              <w:t>*Die Kriterien in den Bereichen „kommunikative Strategie / Diskurskompetenz“, „Wortschatz“ und „grammatische Strukturen“ werden bei der Bewertung der Gesamtleistung in einem höheren Maße gewichtet als „Aussprache und  Intonation.</w:t>
            </w:r>
          </w:p>
        </w:tc>
      </w:tr>
      <w:tr w:rsidR="00BE24B7" w:rsidRPr="004268D9" w:rsidTr="007A393A">
        <w:tc>
          <w:tcPr>
            <w:tcW w:w="2122" w:type="dxa"/>
            <w:tcBorders>
              <w:bottom w:val="nil"/>
            </w:tcBorders>
          </w:tcPr>
          <w:p w:rsidR="00BE24B7" w:rsidRPr="003F1D25" w:rsidRDefault="00BE24B7" w:rsidP="008752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b/>
                <w:sz w:val="18"/>
                <w:szCs w:val="18"/>
              </w:rPr>
              <w:t>Globale Herausforderungen und Zukunftsentwürfe</w:t>
            </w:r>
          </w:p>
          <w:p w:rsidR="00BE24B7" w:rsidRPr="003F1D25" w:rsidRDefault="00BE24B7" w:rsidP="00875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sz w:val="18"/>
                <w:szCs w:val="18"/>
              </w:rPr>
              <w:t>Ökologische und ökonomische Herausforderungen und Perspektiven</w:t>
            </w:r>
          </w:p>
          <w:p w:rsidR="00BE24B7" w:rsidRPr="003F1D25" w:rsidRDefault="00BE24B7" w:rsidP="00875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24B7" w:rsidRPr="003F1D25" w:rsidRDefault="00BE24B7" w:rsidP="00875260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ES"/>
              </w:rPr>
            </w:pPr>
            <w:r w:rsidRPr="003F1D25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ES"/>
              </w:rPr>
              <w:t>Las diversas caras del turismo en España</w:t>
            </w:r>
          </w:p>
          <w:p w:rsidR="00BE24B7" w:rsidRPr="003F1D25" w:rsidRDefault="00BE24B7" w:rsidP="00875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sz w:val="18"/>
                <w:szCs w:val="18"/>
              </w:rPr>
              <w:t>(Kursthema Q1.2)</w:t>
            </w:r>
          </w:p>
        </w:tc>
        <w:tc>
          <w:tcPr>
            <w:tcW w:w="2693" w:type="dxa"/>
            <w:vMerge w:val="restart"/>
          </w:tcPr>
          <w:p w:rsidR="00BE24B7" w:rsidRPr="003F1D25" w:rsidRDefault="00BE24B7" w:rsidP="00AF0E81">
            <w:pPr>
              <w:pStyle w:val="Listenabsatz"/>
              <w:numPr>
                <w:ilvl w:val="0"/>
                <w:numId w:val="6"/>
              </w:numPr>
              <w:ind w:left="176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sz w:val="18"/>
                <w:szCs w:val="18"/>
              </w:rPr>
              <w:t>Darstellung unterschiedlicher Urlaubsregionen Spaniens</w:t>
            </w:r>
          </w:p>
          <w:p w:rsidR="00BE24B7" w:rsidRPr="003F1D25" w:rsidRDefault="00BE24B7" w:rsidP="00AF0E81">
            <w:pPr>
              <w:pStyle w:val="Listenabsatz"/>
              <w:numPr>
                <w:ilvl w:val="0"/>
                <w:numId w:val="6"/>
              </w:numPr>
              <w:ind w:left="176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sz w:val="18"/>
                <w:szCs w:val="18"/>
              </w:rPr>
              <w:t>Unterschiedliche Formen der Urlaubsgestaltung</w:t>
            </w:r>
          </w:p>
          <w:p w:rsidR="00BE24B7" w:rsidRPr="003F1D25" w:rsidRDefault="00BE24B7" w:rsidP="00AF0E81">
            <w:pPr>
              <w:pStyle w:val="Listenabsatz"/>
              <w:numPr>
                <w:ilvl w:val="0"/>
                <w:numId w:val="6"/>
              </w:numPr>
              <w:ind w:left="176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sz w:val="18"/>
                <w:szCs w:val="18"/>
              </w:rPr>
              <w:t xml:space="preserve">ökologische und ökonomische Betrachtung </w:t>
            </w:r>
          </w:p>
          <w:p w:rsidR="00BE24B7" w:rsidRPr="003F1D25" w:rsidRDefault="00BE24B7" w:rsidP="00AF0E81">
            <w:pPr>
              <w:pStyle w:val="Listenabsatz"/>
              <w:numPr>
                <w:ilvl w:val="0"/>
                <w:numId w:val="6"/>
              </w:numPr>
              <w:ind w:left="176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sz w:val="18"/>
                <w:szCs w:val="18"/>
              </w:rPr>
              <w:t>Bewertung von verschiedenen Tourismustypen</w:t>
            </w:r>
          </w:p>
          <w:p w:rsidR="00BE24B7" w:rsidRPr="003F1D25" w:rsidRDefault="00BE24B7" w:rsidP="00AF0E81">
            <w:pPr>
              <w:pStyle w:val="Listenabsatz"/>
              <w:numPr>
                <w:ilvl w:val="0"/>
                <w:numId w:val="6"/>
              </w:numPr>
              <w:ind w:left="176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sz w:val="18"/>
                <w:szCs w:val="18"/>
              </w:rPr>
              <w:t>Anforderungen an einen nachhaltigen Tourismus</w:t>
            </w:r>
          </w:p>
          <w:p w:rsidR="00BE24B7" w:rsidRPr="003F1D25" w:rsidRDefault="00BE24B7" w:rsidP="00AF0E81">
            <w:pPr>
              <w:pStyle w:val="Listenabsatz"/>
              <w:numPr>
                <w:ilvl w:val="0"/>
                <w:numId w:val="6"/>
              </w:numPr>
              <w:ind w:left="176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sz w:val="18"/>
                <w:szCs w:val="18"/>
              </w:rPr>
              <w:t>eigene begründete Stellungnahme</w:t>
            </w:r>
          </w:p>
          <w:p w:rsidR="00BE24B7" w:rsidRPr="007A393A" w:rsidRDefault="00BE24B7" w:rsidP="00BE24B7">
            <w:pPr>
              <w:rPr>
                <w:rFonts w:asciiTheme="minorHAnsi" w:hAnsiTheme="minorHAnsi" w:cstheme="minorHAnsi"/>
                <w:sz w:val="14"/>
                <w:szCs w:val="18"/>
              </w:rPr>
            </w:pPr>
          </w:p>
          <w:p w:rsidR="00BE24B7" w:rsidRPr="00C63420" w:rsidRDefault="00BE24B7" w:rsidP="00A0475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63420">
              <w:rPr>
                <w:rFonts w:asciiTheme="minorHAnsi" w:hAnsiTheme="minorHAnsi" w:cstheme="minorHAnsi"/>
                <w:i/>
                <w:sz w:val="18"/>
                <w:szCs w:val="18"/>
              </w:rPr>
              <w:t>Mögliche weitere Aspekte:</w:t>
            </w:r>
          </w:p>
          <w:p w:rsidR="00BE24B7" w:rsidRPr="00C63420" w:rsidRDefault="00BE24B7" w:rsidP="00A0475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BE24B7" w:rsidRPr="00C63420" w:rsidRDefault="00BE24B7" w:rsidP="00A0475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BE24B7" w:rsidRPr="00C63420" w:rsidRDefault="00BE24B7" w:rsidP="00A047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E24B7" w:rsidRPr="004268D9" w:rsidRDefault="00BE24B7" w:rsidP="00875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</w:tcPr>
          <w:p w:rsidR="00BE24B7" w:rsidRPr="004268D9" w:rsidRDefault="00BE24B7" w:rsidP="00875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 w:val="restart"/>
          </w:tcPr>
          <w:p w:rsidR="00BE24B7" w:rsidRDefault="00BE24B7" w:rsidP="00875260">
            <w:pPr>
              <w:rPr>
                <w:rFonts w:asciiTheme="minorHAnsi" w:hAnsiTheme="minorHAnsi" w:cstheme="minorHAnsi"/>
              </w:rPr>
            </w:pPr>
          </w:p>
          <w:p w:rsidR="00BE24B7" w:rsidRPr="007F77D3" w:rsidRDefault="00BE24B7" w:rsidP="007F77D3">
            <w:pPr>
              <w:rPr>
                <w:rFonts w:asciiTheme="minorHAnsi" w:hAnsiTheme="minorHAnsi" w:cstheme="minorHAnsi"/>
              </w:rPr>
            </w:pPr>
          </w:p>
          <w:p w:rsidR="00BE24B7" w:rsidRPr="007F77D3" w:rsidRDefault="00BE24B7" w:rsidP="007F77D3">
            <w:pPr>
              <w:rPr>
                <w:rFonts w:asciiTheme="minorHAnsi" w:hAnsiTheme="minorHAnsi" w:cstheme="minorHAnsi"/>
              </w:rPr>
            </w:pPr>
          </w:p>
          <w:p w:rsidR="00BE24B7" w:rsidRPr="007F77D3" w:rsidRDefault="00BE24B7" w:rsidP="007F77D3">
            <w:pPr>
              <w:rPr>
                <w:rFonts w:asciiTheme="minorHAnsi" w:hAnsiTheme="minorHAnsi" w:cstheme="minorHAnsi"/>
              </w:rPr>
            </w:pPr>
          </w:p>
          <w:p w:rsidR="00BE24B7" w:rsidRPr="007F77D3" w:rsidRDefault="00BE24B7" w:rsidP="007F77D3">
            <w:pPr>
              <w:rPr>
                <w:rFonts w:asciiTheme="minorHAnsi" w:hAnsiTheme="minorHAnsi" w:cstheme="minorHAnsi"/>
              </w:rPr>
            </w:pPr>
          </w:p>
          <w:p w:rsidR="00BE24B7" w:rsidRPr="007F77D3" w:rsidRDefault="00BE24B7" w:rsidP="007F77D3">
            <w:pPr>
              <w:rPr>
                <w:rFonts w:asciiTheme="minorHAnsi" w:hAnsiTheme="minorHAnsi" w:cstheme="minorHAnsi"/>
              </w:rPr>
            </w:pPr>
          </w:p>
          <w:p w:rsidR="00BE24B7" w:rsidRPr="007F77D3" w:rsidRDefault="00BE24B7" w:rsidP="007F77D3">
            <w:pPr>
              <w:rPr>
                <w:rFonts w:asciiTheme="minorHAnsi" w:hAnsiTheme="minorHAnsi" w:cstheme="minorHAnsi"/>
              </w:rPr>
            </w:pPr>
          </w:p>
          <w:p w:rsidR="00BE24B7" w:rsidRPr="007F77D3" w:rsidRDefault="00BE24B7" w:rsidP="007F77D3">
            <w:pPr>
              <w:rPr>
                <w:rFonts w:asciiTheme="minorHAnsi" w:hAnsiTheme="minorHAnsi" w:cstheme="minorHAnsi"/>
              </w:rPr>
            </w:pPr>
          </w:p>
          <w:p w:rsidR="00BE24B7" w:rsidRPr="007F77D3" w:rsidRDefault="00BE24B7" w:rsidP="007F77D3">
            <w:pPr>
              <w:rPr>
                <w:rFonts w:asciiTheme="minorHAnsi" w:hAnsiTheme="minorHAnsi" w:cstheme="minorHAnsi"/>
              </w:rPr>
            </w:pPr>
          </w:p>
          <w:p w:rsidR="00BE24B7" w:rsidRPr="007F77D3" w:rsidRDefault="00BE24B7" w:rsidP="007F77D3">
            <w:pPr>
              <w:rPr>
                <w:rFonts w:asciiTheme="minorHAnsi" w:hAnsiTheme="minorHAnsi" w:cstheme="minorHAnsi"/>
              </w:rPr>
            </w:pPr>
          </w:p>
          <w:p w:rsidR="00BE24B7" w:rsidRPr="007F77D3" w:rsidRDefault="00BE24B7" w:rsidP="007F77D3">
            <w:pPr>
              <w:rPr>
                <w:rFonts w:asciiTheme="minorHAnsi" w:hAnsiTheme="minorHAnsi" w:cstheme="minorHAnsi"/>
              </w:rPr>
            </w:pPr>
          </w:p>
          <w:p w:rsidR="00BE24B7" w:rsidRPr="007F77D3" w:rsidRDefault="00BE24B7" w:rsidP="007F77D3">
            <w:pPr>
              <w:rPr>
                <w:rFonts w:asciiTheme="minorHAnsi" w:hAnsiTheme="minorHAnsi" w:cstheme="minorHAnsi"/>
              </w:rPr>
            </w:pPr>
          </w:p>
          <w:p w:rsidR="00BE24B7" w:rsidRPr="007F77D3" w:rsidRDefault="00BE24B7" w:rsidP="007F77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0" w:type="dxa"/>
            <w:vMerge/>
          </w:tcPr>
          <w:p w:rsidR="00BE24B7" w:rsidRPr="004268D9" w:rsidRDefault="00BE24B7" w:rsidP="00875260">
            <w:pPr>
              <w:rPr>
                <w:rFonts w:asciiTheme="minorHAnsi" w:hAnsiTheme="minorHAnsi" w:cstheme="minorHAnsi"/>
              </w:rPr>
            </w:pPr>
          </w:p>
        </w:tc>
      </w:tr>
      <w:tr w:rsidR="00BE24B7" w:rsidRPr="004268D9" w:rsidTr="007A393A">
        <w:tc>
          <w:tcPr>
            <w:tcW w:w="2122" w:type="dxa"/>
            <w:tcBorders>
              <w:top w:val="nil"/>
            </w:tcBorders>
          </w:tcPr>
          <w:p w:rsidR="00BE24B7" w:rsidRPr="003F1D25" w:rsidRDefault="00BE24B7" w:rsidP="008752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E24B7" w:rsidRPr="00C63420" w:rsidRDefault="00BE24B7" w:rsidP="00A0475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24B7" w:rsidRPr="004268D9" w:rsidRDefault="00BE24B7" w:rsidP="00875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</w:tcPr>
          <w:p w:rsidR="00BE24B7" w:rsidRPr="004268D9" w:rsidRDefault="00BE24B7" w:rsidP="00875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Merge/>
          </w:tcPr>
          <w:p w:rsidR="00BE24B7" w:rsidRPr="004268D9" w:rsidRDefault="00BE24B7" w:rsidP="00875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0" w:type="dxa"/>
            <w:vMerge/>
          </w:tcPr>
          <w:p w:rsidR="00BE24B7" w:rsidRPr="004268D9" w:rsidRDefault="00BE24B7" w:rsidP="00875260">
            <w:pPr>
              <w:rPr>
                <w:rFonts w:asciiTheme="minorHAnsi" w:hAnsiTheme="minorHAnsi" w:cstheme="minorHAnsi"/>
              </w:rPr>
            </w:pPr>
          </w:p>
        </w:tc>
      </w:tr>
      <w:tr w:rsidR="007A393A" w:rsidRPr="004268D9" w:rsidTr="007A393A">
        <w:tc>
          <w:tcPr>
            <w:tcW w:w="2122" w:type="dxa"/>
            <w:shd w:val="clear" w:color="auto" w:fill="D9D9D9" w:themeFill="background1" w:themeFillShade="D9"/>
          </w:tcPr>
          <w:p w:rsidR="007A393A" w:rsidRPr="003F1D25" w:rsidRDefault="007A393A" w:rsidP="007A39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Zweiter inhaltlicher Schwerpunkt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A393A" w:rsidRPr="00C63420" w:rsidRDefault="007A393A" w:rsidP="007A3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3420">
              <w:rPr>
                <w:rFonts w:asciiTheme="minorHAnsi" w:hAnsiTheme="minorHAnsi" w:cstheme="minorHAnsi"/>
                <w:b/>
                <w:sz w:val="18"/>
                <w:szCs w:val="18"/>
              </w:rPr>
              <w:t>Aspekte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A393A" w:rsidRPr="004268D9" w:rsidRDefault="007A393A" w:rsidP="007A393A">
            <w:pPr>
              <w:jc w:val="center"/>
              <w:rPr>
                <w:rFonts w:asciiTheme="minorHAnsi" w:hAnsiTheme="minorHAnsi" w:cstheme="minorHAnsi"/>
              </w:rPr>
            </w:pPr>
            <w:r w:rsidRPr="00FB5ECD">
              <w:rPr>
                <w:rFonts w:asciiTheme="minorHAnsi" w:hAnsiTheme="minorHAnsi" w:cstheme="minorHAnsi"/>
              </w:rPr>
              <w:t xml:space="preserve">+   </w:t>
            </w:r>
            <w:r w:rsidRPr="00FB5ECD">
              <w:rPr>
                <w:rFonts w:asciiTheme="minorHAnsi" w:hAnsiTheme="minorHAnsi" w:cstheme="minorHAnsi"/>
              </w:rPr>
              <w:sym w:font="Wingdings 3" w:char="F031"/>
            </w:r>
            <w:r w:rsidRPr="00FB5ECD">
              <w:rPr>
                <w:rFonts w:asciiTheme="minorHAnsi" w:hAnsiTheme="minorHAnsi" w:cstheme="minorHAnsi"/>
              </w:rPr>
              <w:t xml:space="preserve">    </w:t>
            </w:r>
            <w:r w:rsidRPr="00FB5ECD">
              <w:rPr>
                <w:rFonts w:asciiTheme="minorHAnsi" w:hAnsiTheme="minorHAnsi" w:cstheme="minorHAnsi"/>
                <w:sz w:val="30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A393A" w:rsidRPr="004268D9" w:rsidRDefault="007A393A" w:rsidP="007A393A">
            <w:pPr>
              <w:jc w:val="center"/>
              <w:rPr>
                <w:rFonts w:asciiTheme="minorHAnsi" w:hAnsiTheme="minorHAnsi" w:cstheme="minorHAnsi"/>
              </w:rPr>
            </w:pPr>
            <w:r w:rsidRPr="00FB5ECD">
              <w:rPr>
                <w:rFonts w:asciiTheme="minorHAnsi" w:hAnsiTheme="minorHAnsi" w:cstheme="minorHAnsi"/>
              </w:rPr>
              <w:t xml:space="preserve">+   </w:t>
            </w:r>
            <w:r w:rsidRPr="00FB5ECD">
              <w:rPr>
                <w:rFonts w:asciiTheme="minorHAnsi" w:hAnsiTheme="minorHAnsi" w:cstheme="minorHAnsi"/>
              </w:rPr>
              <w:sym w:font="Wingdings 3" w:char="F031"/>
            </w:r>
            <w:r w:rsidRPr="00FB5ECD">
              <w:rPr>
                <w:rFonts w:asciiTheme="minorHAnsi" w:hAnsiTheme="minorHAnsi" w:cstheme="minorHAnsi"/>
              </w:rPr>
              <w:t xml:space="preserve">    </w:t>
            </w:r>
            <w:r w:rsidRPr="00FB5ECD">
              <w:rPr>
                <w:rFonts w:asciiTheme="minorHAnsi" w:hAnsiTheme="minorHAnsi" w:cstheme="minorHAnsi"/>
                <w:sz w:val="30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A393A" w:rsidRPr="004268D9" w:rsidRDefault="007A393A" w:rsidP="007A393A">
            <w:pPr>
              <w:jc w:val="center"/>
              <w:rPr>
                <w:rFonts w:asciiTheme="minorHAnsi" w:hAnsiTheme="minorHAnsi" w:cstheme="minorHAnsi"/>
              </w:rPr>
            </w:pPr>
            <w:r w:rsidRPr="00FB5ECD">
              <w:rPr>
                <w:rFonts w:asciiTheme="minorHAnsi" w:hAnsiTheme="minorHAnsi" w:cstheme="minorHAnsi"/>
              </w:rPr>
              <w:t xml:space="preserve">+   </w:t>
            </w:r>
            <w:r w:rsidRPr="00FB5ECD">
              <w:rPr>
                <w:rFonts w:asciiTheme="minorHAnsi" w:hAnsiTheme="minorHAnsi" w:cstheme="minorHAnsi"/>
              </w:rPr>
              <w:sym w:font="Wingdings 3" w:char="F031"/>
            </w:r>
            <w:r w:rsidRPr="00FB5ECD">
              <w:rPr>
                <w:rFonts w:asciiTheme="minorHAnsi" w:hAnsiTheme="minorHAnsi" w:cstheme="minorHAnsi"/>
              </w:rPr>
              <w:t xml:space="preserve">    </w:t>
            </w:r>
            <w:r w:rsidRPr="00FB5ECD">
              <w:rPr>
                <w:rFonts w:asciiTheme="minorHAnsi" w:hAnsiTheme="minorHAnsi" w:cstheme="minorHAnsi"/>
                <w:sz w:val="30"/>
              </w:rPr>
              <w:t>-</w:t>
            </w:r>
          </w:p>
        </w:tc>
        <w:tc>
          <w:tcPr>
            <w:tcW w:w="6890" w:type="dxa"/>
            <w:vMerge/>
          </w:tcPr>
          <w:p w:rsidR="007A393A" w:rsidRPr="004268D9" w:rsidRDefault="007A393A" w:rsidP="007A393A">
            <w:pPr>
              <w:rPr>
                <w:rFonts w:asciiTheme="minorHAnsi" w:hAnsiTheme="minorHAnsi" w:cstheme="minorHAnsi"/>
              </w:rPr>
            </w:pPr>
          </w:p>
        </w:tc>
      </w:tr>
      <w:tr w:rsidR="007A393A" w:rsidRPr="004268D9" w:rsidTr="007A393A">
        <w:tc>
          <w:tcPr>
            <w:tcW w:w="2122" w:type="dxa"/>
          </w:tcPr>
          <w:p w:rsidR="007A393A" w:rsidRPr="003F1D25" w:rsidRDefault="007A393A" w:rsidP="007A39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Alltagswirklichkeiten und berufliche Perspektiven junger Menschen </w:t>
            </w:r>
          </w:p>
          <w:p w:rsidR="007A393A" w:rsidRPr="003F1D25" w:rsidRDefault="007A393A" w:rsidP="007A3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sz w:val="18"/>
                <w:szCs w:val="18"/>
              </w:rPr>
              <w:t xml:space="preserve">Facetten persönlicher und </w:t>
            </w:r>
            <w:proofErr w:type="spellStart"/>
            <w:r w:rsidRPr="003F1D25">
              <w:rPr>
                <w:rFonts w:asciiTheme="minorHAnsi" w:hAnsiTheme="minorHAnsi" w:cstheme="minorHAnsi"/>
                <w:sz w:val="18"/>
                <w:szCs w:val="18"/>
              </w:rPr>
              <w:t>berufl</w:t>
            </w:r>
            <w:proofErr w:type="spellEnd"/>
            <w:r w:rsidRPr="003F1D25">
              <w:rPr>
                <w:rFonts w:asciiTheme="minorHAnsi" w:hAnsiTheme="minorHAnsi" w:cstheme="minorHAnsi"/>
                <w:sz w:val="18"/>
                <w:szCs w:val="18"/>
              </w:rPr>
              <w:t xml:space="preserve">. Lebensgestaltung und Lebensentwürfe Jugendlicher und junger Erwachsener in der sich verändernden spanischsprachigen Welt </w:t>
            </w:r>
          </w:p>
          <w:p w:rsidR="007A393A" w:rsidRPr="003F1D25" w:rsidRDefault="007A393A" w:rsidP="007A393A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Globale </w:t>
            </w:r>
            <w:proofErr w:type="spellStart"/>
            <w:r w:rsidRPr="003F1D25">
              <w:rPr>
                <w:rFonts w:asciiTheme="minorHAnsi" w:hAnsiTheme="minorHAnsi" w:cstheme="minorHAnsi"/>
                <w:b/>
                <w:sz w:val="18"/>
                <w:szCs w:val="18"/>
              </w:rPr>
              <w:t>Herausf</w:t>
            </w:r>
            <w:proofErr w:type="spellEnd"/>
            <w:r w:rsidRPr="003F1D25">
              <w:rPr>
                <w:rFonts w:asciiTheme="minorHAnsi" w:hAnsiTheme="minorHAnsi" w:cstheme="minorHAnsi"/>
                <w:b/>
                <w:sz w:val="18"/>
                <w:szCs w:val="18"/>
              </w:rPr>
              <w:t>. und Zukunftsentwürfe</w:t>
            </w:r>
          </w:p>
          <w:p w:rsidR="007A393A" w:rsidRPr="003F1D25" w:rsidRDefault="007A393A" w:rsidP="007A39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1D25">
              <w:rPr>
                <w:rFonts w:asciiTheme="minorHAnsi" w:hAnsiTheme="minorHAnsi" w:cstheme="minorHAnsi"/>
                <w:sz w:val="18"/>
                <w:szCs w:val="18"/>
              </w:rPr>
              <w:t xml:space="preserve">Ökologische und ökonomische </w:t>
            </w:r>
            <w:proofErr w:type="spellStart"/>
            <w:r w:rsidRPr="003F1D25">
              <w:rPr>
                <w:rFonts w:asciiTheme="minorHAnsi" w:hAnsiTheme="minorHAnsi" w:cstheme="minorHAnsi"/>
                <w:sz w:val="18"/>
                <w:szCs w:val="18"/>
              </w:rPr>
              <w:t>Herausf</w:t>
            </w:r>
            <w:proofErr w:type="spellEnd"/>
            <w:r w:rsidRPr="003F1D25">
              <w:rPr>
                <w:rFonts w:asciiTheme="minorHAnsi" w:hAnsiTheme="minorHAnsi" w:cstheme="minorHAnsi"/>
                <w:sz w:val="18"/>
                <w:szCs w:val="18"/>
              </w:rPr>
              <w:t>. und Perspektiven</w:t>
            </w:r>
          </w:p>
          <w:p w:rsidR="007A393A" w:rsidRPr="003F1D25" w:rsidRDefault="007A393A" w:rsidP="007A39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393A" w:rsidRPr="003F1D25" w:rsidRDefault="007A393A" w:rsidP="007A393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ES"/>
              </w:rPr>
            </w:pPr>
            <w:r w:rsidRPr="003F1D25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ES"/>
              </w:rPr>
              <w:t xml:space="preserve">El desafío de la pobreza infantil </w:t>
            </w:r>
          </w:p>
          <w:p w:rsidR="007A393A" w:rsidRPr="003F1D25" w:rsidRDefault="007A393A" w:rsidP="007A393A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3F1D25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(Kursthema Q2.1)</w:t>
            </w:r>
          </w:p>
        </w:tc>
        <w:tc>
          <w:tcPr>
            <w:tcW w:w="2693" w:type="dxa"/>
          </w:tcPr>
          <w:p w:rsidR="007A393A" w:rsidRPr="00C63420" w:rsidRDefault="007A393A" w:rsidP="007A393A">
            <w:pPr>
              <w:pStyle w:val="Listenabsatz"/>
              <w:numPr>
                <w:ilvl w:val="0"/>
                <w:numId w:val="6"/>
              </w:numPr>
              <w:ind w:left="176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C63420">
              <w:rPr>
                <w:rFonts w:asciiTheme="minorHAnsi" w:hAnsiTheme="minorHAnsi" w:cstheme="minorHAnsi"/>
                <w:sz w:val="18"/>
                <w:szCs w:val="18"/>
              </w:rPr>
              <w:t>Darstellung und Entwicklung der Lebensumstände von Kindern in L.A., ökonomische und gesellschaftliche Einflüsse: Familienstrukturen; Stellung in der Gesellschaft</w:t>
            </w:r>
          </w:p>
          <w:p w:rsidR="007A393A" w:rsidRPr="00C63420" w:rsidRDefault="007A393A" w:rsidP="007A393A">
            <w:pPr>
              <w:pStyle w:val="Listenabsatz"/>
              <w:numPr>
                <w:ilvl w:val="0"/>
                <w:numId w:val="6"/>
              </w:numPr>
              <w:ind w:left="176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C63420">
              <w:rPr>
                <w:rFonts w:asciiTheme="minorHAnsi" w:hAnsiTheme="minorHAnsi" w:cstheme="minorHAnsi"/>
                <w:sz w:val="18"/>
                <w:szCs w:val="18"/>
              </w:rPr>
              <w:t>Kinderrechte</w:t>
            </w:r>
          </w:p>
          <w:p w:rsidR="007A393A" w:rsidRPr="00C63420" w:rsidRDefault="007A393A" w:rsidP="007A393A">
            <w:pPr>
              <w:pStyle w:val="Listenabsatz"/>
              <w:numPr>
                <w:ilvl w:val="0"/>
                <w:numId w:val="6"/>
              </w:numPr>
              <w:ind w:left="176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C63420">
              <w:rPr>
                <w:rFonts w:asciiTheme="minorHAnsi" w:hAnsiTheme="minorHAnsi" w:cstheme="minorHAnsi"/>
                <w:sz w:val="18"/>
                <w:szCs w:val="18"/>
              </w:rPr>
              <w:t>bes. Problematik der Straßenkinder, Erfolge durch Hilfsprogramme</w:t>
            </w:r>
          </w:p>
          <w:p w:rsidR="007A393A" w:rsidRPr="00C63420" w:rsidRDefault="007A393A" w:rsidP="007A393A">
            <w:pPr>
              <w:pStyle w:val="Listenabsatz"/>
              <w:numPr>
                <w:ilvl w:val="0"/>
                <w:numId w:val="6"/>
              </w:numPr>
              <w:ind w:left="176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C63420">
              <w:rPr>
                <w:rFonts w:asciiTheme="minorHAnsi" w:hAnsiTheme="minorHAnsi" w:cstheme="minorHAnsi"/>
                <w:sz w:val="18"/>
                <w:szCs w:val="18"/>
              </w:rPr>
              <w:t>Bildungschancen und Kinderarbeit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C63420">
              <w:rPr>
                <w:rFonts w:asciiTheme="minorHAnsi" w:hAnsiTheme="minorHAnsi" w:cstheme="minorHAnsi"/>
                <w:sz w:val="18"/>
                <w:szCs w:val="18"/>
              </w:rPr>
              <w:t>Familien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63420">
              <w:rPr>
                <w:rFonts w:asciiTheme="minorHAnsi" w:hAnsiTheme="minorHAnsi" w:cstheme="minorHAnsi"/>
                <w:sz w:val="18"/>
                <w:szCs w:val="18"/>
              </w:rPr>
              <w:t>strukturen; wirtschaftliche Unterstützung der Familie; Zukunftsaussichten</w:t>
            </w:r>
          </w:p>
          <w:p w:rsidR="007A393A" w:rsidRDefault="007A393A" w:rsidP="007A393A">
            <w:pPr>
              <w:pStyle w:val="Listenabsatz"/>
              <w:numPr>
                <w:ilvl w:val="0"/>
                <w:numId w:val="6"/>
              </w:numPr>
              <w:ind w:left="176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C63420">
              <w:rPr>
                <w:rFonts w:asciiTheme="minorHAnsi" w:hAnsiTheme="minorHAnsi" w:cstheme="minorHAnsi"/>
                <w:sz w:val="18"/>
                <w:szCs w:val="18"/>
              </w:rPr>
              <w:t>Kurzfilm „</w:t>
            </w:r>
            <w:proofErr w:type="spellStart"/>
            <w:r w:rsidRPr="00C63420">
              <w:rPr>
                <w:rFonts w:asciiTheme="minorHAnsi" w:hAnsiTheme="minorHAnsi" w:cstheme="minorHAnsi"/>
                <w:sz w:val="18"/>
                <w:szCs w:val="18"/>
              </w:rPr>
              <w:t>Quiero</w:t>
            </w:r>
            <w:proofErr w:type="spellEnd"/>
            <w:r w:rsidRPr="00C634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3420">
              <w:rPr>
                <w:rFonts w:asciiTheme="minorHAnsi" w:hAnsiTheme="minorHAnsi" w:cstheme="minorHAnsi"/>
                <w:sz w:val="18"/>
                <w:szCs w:val="18"/>
              </w:rPr>
              <w:t>ser</w:t>
            </w:r>
            <w:proofErr w:type="spellEnd"/>
            <w:r w:rsidRPr="00C63420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</w:p>
          <w:p w:rsidR="007A393A" w:rsidRPr="007A393A" w:rsidRDefault="007A393A" w:rsidP="007A393A">
            <w:pPr>
              <w:rPr>
                <w:rFonts w:asciiTheme="minorHAnsi" w:hAnsiTheme="minorHAnsi" w:cstheme="minorHAnsi"/>
                <w:sz w:val="14"/>
                <w:szCs w:val="18"/>
              </w:rPr>
            </w:pPr>
          </w:p>
          <w:p w:rsidR="007A393A" w:rsidRDefault="007A393A" w:rsidP="007A393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63420">
              <w:rPr>
                <w:rFonts w:asciiTheme="minorHAnsi" w:hAnsiTheme="minorHAnsi" w:cstheme="minorHAnsi"/>
                <w:i/>
                <w:sz w:val="18"/>
                <w:szCs w:val="18"/>
              </w:rPr>
              <w:t>Mögliche weitere Aspekte:</w:t>
            </w:r>
          </w:p>
          <w:p w:rsidR="007A393A" w:rsidRDefault="007A393A" w:rsidP="007A393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3B73B4" w:rsidRDefault="003B73B4" w:rsidP="003B73B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3B73B4" w:rsidRPr="007A393A" w:rsidRDefault="003B73B4" w:rsidP="007A39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93A" w:rsidRPr="004268D9" w:rsidRDefault="007A393A" w:rsidP="007A3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7A393A" w:rsidRPr="004268D9" w:rsidRDefault="007A393A" w:rsidP="007A3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7A393A" w:rsidRPr="007F77D3" w:rsidRDefault="007A393A" w:rsidP="007A393A">
            <w:pPr>
              <w:rPr>
                <w:rFonts w:asciiTheme="minorHAnsi" w:hAnsiTheme="minorHAnsi" w:cstheme="minorHAnsi"/>
              </w:rPr>
            </w:pPr>
          </w:p>
          <w:p w:rsidR="007A393A" w:rsidRPr="007F77D3" w:rsidRDefault="007A393A" w:rsidP="007A393A">
            <w:pPr>
              <w:rPr>
                <w:rFonts w:asciiTheme="minorHAnsi" w:hAnsiTheme="minorHAnsi" w:cstheme="minorHAnsi"/>
              </w:rPr>
            </w:pPr>
          </w:p>
          <w:p w:rsidR="007A393A" w:rsidRPr="007F77D3" w:rsidRDefault="007A393A" w:rsidP="007A393A">
            <w:pPr>
              <w:rPr>
                <w:rFonts w:asciiTheme="minorHAnsi" w:hAnsiTheme="minorHAnsi" w:cstheme="minorHAnsi"/>
              </w:rPr>
            </w:pPr>
          </w:p>
          <w:p w:rsidR="007A393A" w:rsidRPr="007F77D3" w:rsidRDefault="007A393A" w:rsidP="007A393A">
            <w:pPr>
              <w:rPr>
                <w:rFonts w:asciiTheme="minorHAnsi" w:hAnsiTheme="minorHAnsi" w:cstheme="minorHAnsi"/>
              </w:rPr>
            </w:pPr>
          </w:p>
          <w:p w:rsidR="007A393A" w:rsidRPr="007F77D3" w:rsidRDefault="007A393A" w:rsidP="007A393A">
            <w:pPr>
              <w:rPr>
                <w:rFonts w:asciiTheme="minorHAnsi" w:hAnsiTheme="minorHAnsi" w:cstheme="minorHAnsi"/>
              </w:rPr>
            </w:pPr>
          </w:p>
          <w:p w:rsidR="007A393A" w:rsidRPr="007F77D3" w:rsidRDefault="007A393A" w:rsidP="007A393A">
            <w:pPr>
              <w:rPr>
                <w:rFonts w:asciiTheme="minorHAnsi" w:hAnsiTheme="minorHAnsi" w:cstheme="minorHAnsi"/>
              </w:rPr>
            </w:pPr>
          </w:p>
          <w:p w:rsidR="007A393A" w:rsidRPr="007F77D3" w:rsidRDefault="007A393A" w:rsidP="007A393A">
            <w:pPr>
              <w:rPr>
                <w:rFonts w:asciiTheme="minorHAnsi" w:hAnsiTheme="minorHAnsi" w:cstheme="minorHAnsi"/>
              </w:rPr>
            </w:pPr>
          </w:p>
          <w:p w:rsidR="007A393A" w:rsidRPr="007F77D3" w:rsidRDefault="007A393A" w:rsidP="007A393A">
            <w:pPr>
              <w:rPr>
                <w:rFonts w:asciiTheme="minorHAnsi" w:hAnsiTheme="minorHAnsi" w:cstheme="minorHAnsi"/>
              </w:rPr>
            </w:pPr>
          </w:p>
          <w:p w:rsidR="007A393A" w:rsidRPr="007F77D3" w:rsidRDefault="007A393A" w:rsidP="007A393A">
            <w:pPr>
              <w:rPr>
                <w:rFonts w:asciiTheme="minorHAnsi" w:hAnsiTheme="minorHAnsi" w:cstheme="minorHAnsi"/>
              </w:rPr>
            </w:pPr>
          </w:p>
          <w:p w:rsidR="007A393A" w:rsidRPr="007F77D3" w:rsidRDefault="007A393A" w:rsidP="007A393A">
            <w:pPr>
              <w:rPr>
                <w:rFonts w:asciiTheme="minorHAnsi" w:hAnsiTheme="minorHAnsi" w:cstheme="minorHAnsi"/>
              </w:rPr>
            </w:pPr>
          </w:p>
          <w:p w:rsidR="007A393A" w:rsidRPr="007F77D3" w:rsidRDefault="007A393A" w:rsidP="007A393A">
            <w:pPr>
              <w:rPr>
                <w:rFonts w:asciiTheme="minorHAnsi" w:hAnsiTheme="minorHAnsi" w:cstheme="minorHAnsi"/>
              </w:rPr>
            </w:pPr>
          </w:p>
          <w:p w:rsidR="007A393A" w:rsidRPr="004268D9" w:rsidRDefault="007A393A" w:rsidP="007A39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0" w:type="dxa"/>
            <w:vMerge/>
          </w:tcPr>
          <w:p w:rsidR="007A393A" w:rsidRPr="004268D9" w:rsidRDefault="007A393A" w:rsidP="007A393A">
            <w:pPr>
              <w:rPr>
                <w:rFonts w:asciiTheme="minorHAnsi" w:hAnsiTheme="minorHAnsi" w:cstheme="minorHAnsi"/>
              </w:rPr>
            </w:pPr>
          </w:p>
        </w:tc>
      </w:tr>
    </w:tbl>
    <w:p w:rsidR="002D4429" w:rsidRPr="004268D9" w:rsidRDefault="002D4429" w:rsidP="001F18C3">
      <w:pPr>
        <w:rPr>
          <w:rFonts w:asciiTheme="minorHAnsi" w:eastAsia="Times New Roman" w:hAnsiTheme="minorHAnsi" w:cstheme="minorHAnsi"/>
          <w:b/>
          <w:sz w:val="2"/>
          <w:szCs w:val="2"/>
        </w:rPr>
      </w:pPr>
    </w:p>
    <w:sectPr w:rsidR="002D4429" w:rsidRPr="004268D9" w:rsidSect="003B73B4">
      <w:pgSz w:w="16840" w:h="11900" w:orient="landscape"/>
      <w:pgMar w:top="567" w:right="720" w:bottom="426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6B" w:rsidRDefault="00D3176B" w:rsidP="00A469A2">
      <w:r>
        <w:separator/>
      </w:r>
    </w:p>
  </w:endnote>
  <w:endnote w:type="continuationSeparator" w:id="0">
    <w:p w:rsidR="00D3176B" w:rsidRDefault="00D3176B" w:rsidP="00A4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6B" w:rsidRDefault="00D3176B" w:rsidP="00A469A2">
      <w:r>
        <w:separator/>
      </w:r>
    </w:p>
  </w:footnote>
  <w:footnote w:type="continuationSeparator" w:id="0">
    <w:p w:rsidR="00D3176B" w:rsidRDefault="00D3176B" w:rsidP="00A4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B41"/>
    <w:multiLevelType w:val="hybridMultilevel"/>
    <w:tmpl w:val="BECAEE00"/>
    <w:lvl w:ilvl="0" w:tplc="68005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7C7C"/>
    <w:multiLevelType w:val="hybridMultilevel"/>
    <w:tmpl w:val="DE96D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2C74"/>
    <w:multiLevelType w:val="hybridMultilevel"/>
    <w:tmpl w:val="CC601FBC"/>
    <w:lvl w:ilvl="0" w:tplc="68005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738A8"/>
    <w:multiLevelType w:val="hybridMultilevel"/>
    <w:tmpl w:val="9D740E12"/>
    <w:lvl w:ilvl="0" w:tplc="1A72E5D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0A1"/>
    <w:multiLevelType w:val="hybridMultilevel"/>
    <w:tmpl w:val="5E844E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A0BD2"/>
    <w:multiLevelType w:val="hybridMultilevel"/>
    <w:tmpl w:val="F2BC981A"/>
    <w:lvl w:ilvl="0" w:tplc="68005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F4158"/>
    <w:multiLevelType w:val="hybridMultilevel"/>
    <w:tmpl w:val="4BBE203A"/>
    <w:lvl w:ilvl="0" w:tplc="6578249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24677"/>
    <w:multiLevelType w:val="hybridMultilevel"/>
    <w:tmpl w:val="01268A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093CE2"/>
    <w:multiLevelType w:val="hybridMultilevel"/>
    <w:tmpl w:val="863650D4"/>
    <w:lvl w:ilvl="0" w:tplc="4796DD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10E95"/>
    <w:multiLevelType w:val="hybridMultilevel"/>
    <w:tmpl w:val="4A0AE750"/>
    <w:lvl w:ilvl="0" w:tplc="9C5AC17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D4F3E"/>
    <w:multiLevelType w:val="hybridMultilevel"/>
    <w:tmpl w:val="751C2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0B"/>
    <w:rsid w:val="000107FF"/>
    <w:rsid w:val="00016278"/>
    <w:rsid w:val="00047E0D"/>
    <w:rsid w:val="000527B5"/>
    <w:rsid w:val="00060B4C"/>
    <w:rsid w:val="00062640"/>
    <w:rsid w:val="00087CA9"/>
    <w:rsid w:val="00091C66"/>
    <w:rsid w:val="00094A7C"/>
    <w:rsid w:val="000C3245"/>
    <w:rsid w:val="000E38D4"/>
    <w:rsid w:val="000F3C7D"/>
    <w:rsid w:val="00111129"/>
    <w:rsid w:val="00115DA0"/>
    <w:rsid w:val="001210BD"/>
    <w:rsid w:val="00137B4C"/>
    <w:rsid w:val="00141E41"/>
    <w:rsid w:val="00161061"/>
    <w:rsid w:val="001710D6"/>
    <w:rsid w:val="00172A2C"/>
    <w:rsid w:val="001A726D"/>
    <w:rsid w:val="001B5162"/>
    <w:rsid w:val="001B5373"/>
    <w:rsid w:val="001C646D"/>
    <w:rsid w:val="001E719E"/>
    <w:rsid w:val="001F18C3"/>
    <w:rsid w:val="00203296"/>
    <w:rsid w:val="00224E1D"/>
    <w:rsid w:val="002329B9"/>
    <w:rsid w:val="00246BA9"/>
    <w:rsid w:val="00252E4A"/>
    <w:rsid w:val="002636BC"/>
    <w:rsid w:val="002846C5"/>
    <w:rsid w:val="00287847"/>
    <w:rsid w:val="002C3AE7"/>
    <w:rsid w:val="002D4429"/>
    <w:rsid w:val="002D7EDE"/>
    <w:rsid w:val="002F3D98"/>
    <w:rsid w:val="00314359"/>
    <w:rsid w:val="003252F7"/>
    <w:rsid w:val="0033189B"/>
    <w:rsid w:val="00334825"/>
    <w:rsid w:val="00355D0D"/>
    <w:rsid w:val="0038473C"/>
    <w:rsid w:val="003B73B4"/>
    <w:rsid w:val="003C1A5F"/>
    <w:rsid w:val="003C33CA"/>
    <w:rsid w:val="003C6FA8"/>
    <w:rsid w:val="003F1D25"/>
    <w:rsid w:val="003F7B33"/>
    <w:rsid w:val="00400232"/>
    <w:rsid w:val="00421F44"/>
    <w:rsid w:val="004268D9"/>
    <w:rsid w:val="004411C6"/>
    <w:rsid w:val="00441A16"/>
    <w:rsid w:val="00474371"/>
    <w:rsid w:val="004A1905"/>
    <w:rsid w:val="004B7E3A"/>
    <w:rsid w:val="004D0215"/>
    <w:rsid w:val="004D2808"/>
    <w:rsid w:val="004E6FEB"/>
    <w:rsid w:val="00534A0B"/>
    <w:rsid w:val="00563252"/>
    <w:rsid w:val="005816D6"/>
    <w:rsid w:val="005957F1"/>
    <w:rsid w:val="005D6813"/>
    <w:rsid w:val="005E571B"/>
    <w:rsid w:val="0064266F"/>
    <w:rsid w:val="0064505A"/>
    <w:rsid w:val="006807A1"/>
    <w:rsid w:val="00697F71"/>
    <w:rsid w:val="006A2E02"/>
    <w:rsid w:val="006A31D5"/>
    <w:rsid w:val="006A7640"/>
    <w:rsid w:val="006F1F3B"/>
    <w:rsid w:val="00723DAF"/>
    <w:rsid w:val="0073113C"/>
    <w:rsid w:val="007367CC"/>
    <w:rsid w:val="00762846"/>
    <w:rsid w:val="007859C8"/>
    <w:rsid w:val="00787A85"/>
    <w:rsid w:val="00790DA2"/>
    <w:rsid w:val="007A393A"/>
    <w:rsid w:val="007B2AE8"/>
    <w:rsid w:val="007C07DA"/>
    <w:rsid w:val="007E21E6"/>
    <w:rsid w:val="007F77D3"/>
    <w:rsid w:val="00804B94"/>
    <w:rsid w:val="00806ABD"/>
    <w:rsid w:val="00820303"/>
    <w:rsid w:val="00822142"/>
    <w:rsid w:val="008238B2"/>
    <w:rsid w:val="00825241"/>
    <w:rsid w:val="0084431F"/>
    <w:rsid w:val="00852DFC"/>
    <w:rsid w:val="00865476"/>
    <w:rsid w:val="0087370E"/>
    <w:rsid w:val="0087702C"/>
    <w:rsid w:val="00896563"/>
    <w:rsid w:val="008B1525"/>
    <w:rsid w:val="008B16A9"/>
    <w:rsid w:val="008B5EFA"/>
    <w:rsid w:val="008C7919"/>
    <w:rsid w:val="009013D8"/>
    <w:rsid w:val="0091222A"/>
    <w:rsid w:val="0091330C"/>
    <w:rsid w:val="009157F6"/>
    <w:rsid w:val="009246E4"/>
    <w:rsid w:val="009259E7"/>
    <w:rsid w:val="00936744"/>
    <w:rsid w:val="00962432"/>
    <w:rsid w:val="00965C73"/>
    <w:rsid w:val="00973F50"/>
    <w:rsid w:val="009952C3"/>
    <w:rsid w:val="009A74B1"/>
    <w:rsid w:val="009B05ED"/>
    <w:rsid w:val="009C1725"/>
    <w:rsid w:val="009C5860"/>
    <w:rsid w:val="009D2E0C"/>
    <w:rsid w:val="009D588D"/>
    <w:rsid w:val="009E22CE"/>
    <w:rsid w:val="009E6E92"/>
    <w:rsid w:val="00A04754"/>
    <w:rsid w:val="00A14F7E"/>
    <w:rsid w:val="00A235D2"/>
    <w:rsid w:val="00A2728D"/>
    <w:rsid w:val="00A317AF"/>
    <w:rsid w:val="00A457F2"/>
    <w:rsid w:val="00A469A2"/>
    <w:rsid w:val="00A5154A"/>
    <w:rsid w:val="00A522C6"/>
    <w:rsid w:val="00A55584"/>
    <w:rsid w:val="00A83169"/>
    <w:rsid w:val="00A9077C"/>
    <w:rsid w:val="00AD5D09"/>
    <w:rsid w:val="00AF0E81"/>
    <w:rsid w:val="00B11FAD"/>
    <w:rsid w:val="00B146DE"/>
    <w:rsid w:val="00B240BF"/>
    <w:rsid w:val="00B25012"/>
    <w:rsid w:val="00B42A13"/>
    <w:rsid w:val="00B71EFB"/>
    <w:rsid w:val="00B7772F"/>
    <w:rsid w:val="00BC25E4"/>
    <w:rsid w:val="00BE24B7"/>
    <w:rsid w:val="00BE51CA"/>
    <w:rsid w:val="00BE5FFE"/>
    <w:rsid w:val="00BE61A4"/>
    <w:rsid w:val="00BE63E9"/>
    <w:rsid w:val="00C20186"/>
    <w:rsid w:val="00C50051"/>
    <w:rsid w:val="00C63420"/>
    <w:rsid w:val="00C820F2"/>
    <w:rsid w:val="00C82968"/>
    <w:rsid w:val="00C82A9F"/>
    <w:rsid w:val="00C919D8"/>
    <w:rsid w:val="00C957C4"/>
    <w:rsid w:val="00CB2316"/>
    <w:rsid w:val="00CC079C"/>
    <w:rsid w:val="00CC46A6"/>
    <w:rsid w:val="00CC5EE8"/>
    <w:rsid w:val="00CD559F"/>
    <w:rsid w:val="00CF5E7A"/>
    <w:rsid w:val="00D02521"/>
    <w:rsid w:val="00D07A2D"/>
    <w:rsid w:val="00D12320"/>
    <w:rsid w:val="00D257A6"/>
    <w:rsid w:val="00D3176B"/>
    <w:rsid w:val="00D5267D"/>
    <w:rsid w:val="00D63062"/>
    <w:rsid w:val="00D6555C"/>
    <w:rsid w:val="00D773AF"/>
    <w:rsid w:val="00DC21F3"/>
    <w:rsid w:val="00DE4489"/>
    <w:rsid w:val="00DE5E92"/>
    <w:rsid w:val="00DF4178"/>
    <w:rsid w:val="00E06F4B"/>
    <w:rsid w:val="00E10EB2"/>
    <w:rsid w:val="00E378F5"/>
    <w:rsid w:val="00E46E97"/>
    <w:rsid w:val="00E73950"/>
    <w:rsid w:val="00EB2355"/>
    <w:rsid w:val="00EC3070"/>
    <w:rsid w:val="00EE4299"/>
    <w:rsid w:val="00F15C99"/>
    <w:rsid w:val="00F24A97"/>
    <w:rsid w:val="00F47100"/>
    <w:rsid w:val="00F55060"/>
    <w:rsid w:val="00F56ADC"/>
    <w:rsid w:val="00F66C32"/>
    <w:rsid w:val="00F73990"/>
    <w:rsid w:val="00F77A45"/>
    <w:rsid w:val="00F83860"/>
    <w:rsid w:val="00FA6B14"/>
    <w:rsid w:val="00FA782F"/>
    <w:rsid w:val="00FB5ECD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6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1A4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534A0B"/>
    <w:rPr>
      <w:rFonts w:ascii="Arial" w:hAnsi="Arial" w:cs="Arial"/>
      <w:sz w:val="18"/>
      <w:szCs w:val="18"/>
    </w:rPr>
  </w:style>
  <w:style w:type="paragraph" w:customStyle="1" w:styleId="p2">
    <w:name w:val="p2"/>
    <w:basedOn w:val="Standard"/>
    <w:rsid w:val="00534A0B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534A0B"/>
  </w:style>
  <w:style w:type="table" w:styleId="Tabellenraster">
    <w:name w:val="Table Grid"/>
    <w:basedOn w:val="NormaleTabelle"/>
    <w:uiPriority w:val="59"/>
    <w:rsid w:val="0053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69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9A2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69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9A2"/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252E4A"/>
    <w:pPr>
      <w:ind w:left="720"/>
      <w:contextualSpacing/>
    </w:pPr>
  </w:style>
  <w:style w:type="paragraph" w:customStyle="1" w:styleId="Default">
    <w:name w:val="Default"/>
    <w:rsid w:val="009B05ED"/>
    <w:pPr>
      <w:autoSpaceDE w:val="0"/>
      <w:autoSpaceDN w:val="0"/>
      <w:adjustRightInd w:val="0"/>
    </w:pPr>
    <w:rPr>
      <w:rFonts w:ascii="Calibri" w:eastAsia="Batang" w:hAnsi="Calibri" w:cs="Calibri"/>
      <w:color w:val="000000"/>
    </w:rPr>
  </w:style>
  <w:style w:type="paragraph" w:styleId="KeinLeerraum">
    <w:name w:val="No Spacing"/>
    <w:uiPriority w:val="1"/>
    <w:qFormat/>
    <w:rsid w:val="004268D9"/>
    <w:rPr>
      <w:rFonts w:ascii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1A4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534A0B"/>
    <w:rPr>
      <w:rFonts w:ascii="Arial" w:hAnsi="Arial" w:cs="Arial"/>
      <w:sz w:val="18"/>
      <w:szCs w:val="18"/>
    </w:rPr>
  </w:style>
  <w:style w:type="paragraph" w:customStyle="1" w:styleId="p2">
    <w:name w:val="p2"/>
    <w:basedOn w:val="Standard"/>
    <w:rsid w:val="00534A0B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534A0B"/>
  </w:style>
  <w:style w:type="table" w:styleId="Tabellenraster">
    <w:name w:val="Table Grid"/>
    <w:basedOn w:val="NormaleTabelle"/>
    <w:uiPriority w:val="59"/>
    <w:rsid w:val="0053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69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9A2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69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9A2"/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252E4A"/>
    <w:pPr>
      <w:ind w:left="720"/>
      <w:contextualSpacing/>
    </w:pPr>
  </w:style>
  <w:style w:type="paragraph" w:customStyle="1" w:styleId="Default">
    <w:name w:val="Default"/>
    <w:rsid w:val="009B05ED"/>
    <w:pPr>
      <w:autoSpaceDE w:val="0"/>
      <w:autoSpaceDN w:val="0"/>
      <w:adjustRightInd w:val="0"/>
    </w:pPr>
    <w:rPr>
      <w:rFonts w:ascii="Calibri" w:eastAsia="Batang" w:hAnsi="Calibri" w:cs="Calibri"/>
      <w:color w:val="000000"/>
    </w:rPr>
  </w:style>
  <w:style w:type="paragraph" w:styleId="KeinLeerraum">
    <w:name w:val="No Spacing"/>
    <w:uiPriority w:val="1"/>
    <w:qFormat/>
    <w:rsid w:val="004268D9"/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D1ED3431</Template>
  <TotalTime>0</TotalTime>
  <Pages>1</Pages>
  <Words>1373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Gisela Weber</dc:creator>
  <cp:lastModifiedBy>Krüger, Juliane</cp:lastModifiedBy>
  <cp:revision>2</cp:revision>
  <dcterms:created xsi:type="dcterms:W3CDTF">2019-07-08T12:20:00Z</dcterms:created>
  <dcterms:modified xsi:type="dcterms:W3CDTF">2019-07-08T12:20:00Z</dcterms:modified>
</cp:coreProperties>
</file>