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Theme="minorBidi" w:hAnsiTheme="minorBidi" w:cstheme="minorBidi"/>
          <w:b/>
        </w:rPr>
      </w:pPr>
      <w:bookmarkStart w:id="0" w:name="_Hlk150183458"/>
      <w:r>
        <w:rPr>
          <w:rFonts w:asciiTheme="minorBidi" w:hAnsiTheme="minorBidi" w:cstheme="minorBidi"/>
          <w:b/>
        </w:rPr>
        <w:t>Kriteriales Bewertungsraster zur Bewertung der Schülerleistungen</w:t>
      </w:r>
    </w:p>
    <w:p>
      <w:pPr>
        <w:spacing w:after="0"/>
        <w:rPr>
          <w:rFonts w:asciiTheme="minorBidi" w:hAnsiTheme="minorBidi" w:cstheme="minorBidi"/>
          <w:b/>
        </w:rPr>
      </w:pPr>
    </w:p>
    <w:p>
      <w:pPr>
        <w:spacing w:after="0"/>
        <w:rPr>
          <w:rFonts w:asciiTheme="minorBidi" w:hAnsiTheme="minorBidi" w:cstheme="minorBidi"/>
          <w:b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838825" cy="1404620"/>
                <wp:effectExtent l="0" t="0" r="28575" b="10160"/>
                <wp:wrapSquare wrapText="bothSides"/>
                <wp:docPr id="846414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 xml:space="preserve">Das vorliegende Bewertungsraster knüpft an den KLP SI an,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berücksichtigt den Kernlehrplan GOSt Englisch 2023 sowie die Konstruktionshinweise für Klausuren in den modernen Fremdsprachen ab dem Abitur 2025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https://www.standardsicherung.schulministerium.nrw.de/cms/zentralabitur-gost/faecher/getfile.php?file=5796</w:t>
                              </w:r>
                            </w:hyperlink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) und kann in der Einführungsphase zur Vorbereitung auf die Qualifikationsphase eingesetzt werden.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Die Überprüfungsforma Schreiben / Leseverstehen (integriert) ohne die Überprüfung einer weiteren Teilkompetenz in einmal in der Einführungsphase möglich (vgl. KLP SII S. 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8.65pt;width:45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" fillcolor="#d9d9d9">
                <v:textbox style="mso-fit-shape-to-text:t">
                  <w:txbxContent>
                    <w:p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Das vorliegende Bewertungsraster knüpft an den KLP SI an, </w:t>
                      </w:r>
                      <w:bookmarkStart w:id="2" w:name="_GoBack"/>
                      <w:bookmarkEnd w:id="2"/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berücksichtigt den Kernlehrplan GOSt Englisch 2023 sowie die Konstruktionshinweise für Klausuren in den modernen Fremdsprachen ab dem Abitur 2025 (</w:t>
                      </w:r>
                      <w:hyperlink r:id="rId9" w:history="1">
                        <w:r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https://www.standardsicherung.schulministerium.nrw.de/cms/zentralabitur-gost/faecher/getfile.php?file=5796</w:t>
                        </w:r>
                      </w:hyperlink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) und kann in der Einführungsphase zur Vorbereitung auf die Qualifikationsphase eingesetzt werden.</w:t>
                      </w:r>
                    </w:p>
                    <w:p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Die Überprüfungsforma Schreiben / Leseverstehen (integriert) ohne die Überprüfung einer weiteren Teilkompetenz in einmal in der Einführungsphase möglich (vgl. KLP SII S. 40)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Bidi" w:hAnsiTheme="minorBidi" w:cstheme="minorBidi"/>
          <w:b/>
        </w:rPr>
        <w:t>Klausur:</w:t>
      </w:r>
      <w:r>
        <w:rPr>
          <w:rFonts w:asciiTheme="minorBidi" w:hAnsiTheme="minorBidi" w:cstheme="minorBidi"/>
          <w:b/>
        </w:rPr>
        <w:tab/>
        <w:t>Schreiben / Leseverstehen (integriert)</w:t>
      </w:r>
    </w:p>
    <w:bookmarkEnd w:id="0"/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Inhaltliche Leistung</w:t>
      </w:r>
    </w:p>
    <w:p>
      <w:pPr>
        <w:spacing w:after="0"/>
        <w:rPr>
          <w:rFonts w:ascii="Arial" w:eastAsia="Calibri" w:hAnsi="Arial" w:cs="Arial"/>
          <w:b/>
          <w:bCs/>
        </w:rPr>
      </w:pPr>
      <w:bookmarkStart w:id="3" w:name="OLE_LINK50"/>
      <w:bookmarkStart w:id="4" w:name="OLE_LINK51"/>
      <w:bookmarkStart w:id="5" w:name="OLE_LINK52"/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Teilaufgabe 1 </w:t>
      </w:r>
      <w:r>
        <w:rPr>
          <w:rFonts w:ascii="Arial" w:eastAsia="Calibri" w:hAnsi="Arial" w:cs="Arial"/>
          <w:b/>
          <w:sz w:val="22"/>
          <w:szCs w:val="22"/>
        </w:rPr>
        <w:t>(Comprehension)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091"/>
        <w:gridCol w:w="994"/>
        <w:gridCol w:w="868"/>
      </w:tblGrid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6" w:name="_Hlk397631403"/>
            <w:bookmarkEnd w:id="3"/>
            <w:bookmarkEnd w:id="4"/>
            <w:bookmarkEnd w:id="5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Anforderungen: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6"/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7" w:name="OLE_LINK61"/>
            <w:bookmarkStart w:id="8" w:name="OLE_LINK62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Teilaufgabe 2</w:t>
      </w:r>
      <w:r>
        <w:rPr>
          <w:rFonts w:ascii="Arial" w:eastAsia="Calibri" w:hAnsi="Arial" w:cs="Arial"/>
          <w:b/>
          <w:sz w:val="22"/>
          <w:szCs w:val="22"/>
        </w:rPr>
        <w:t xml:space="preserve"> (Analysis)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3"/>
        <w:gridCol w:w="992"/>
        <w:gridCol w:w="874"/>
      </w:tblGrid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9" w:name="_Hlk397631741"/>
            <w:bookmarkEnd w:id="7"/>
            <w:bookmarkEnd w:id="8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Die Schülerin / Der Schüler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9"/>
      <w:tr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erfüllt ein weiteres aufgabenbezogenes Kriterium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  <w:bookmarkStart w:id="10" w:name="OLE_LINK76"/>
      <w:bookmarkStart w:id="11" w:name="OLE_LINK77"/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Teilaufgabe 3 </w:t>
      </w:r>
      <w:r>
        <w:rPr>
          <w:rFonts w:ascii="Arial" w:eastAsia="Calibri" w:hAnsi="Arial" w:cs="Arial"/>
          <w:b/>
          <w:sz w:val="22"/>
          <w:szCs w:val="22"/>
          <w:lang w:val="en-GB"/>
        </w:rPr>
        <w:t>(Evaluation)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7"/>
        <w:gridCol w:w="994"/>
        <w:gridCol w:w="868"/>
      </w:tblGrid>
      <w:tr>
        <w:trPr>
          <w:trHeight w:val="3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bookmarkStart w:id="12" w:name="_Hlk397632303"/>
            <w:bookmarkEnd w:id="10"/>
            <w:bookmarkEnd w:id="11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12"/>
      <w:tr>
        <w:trPr>
          <w:trHeight w:val="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1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3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erfüllt ein weiteres aufgabengezogenes Kriterium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3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</w:rPr>
      </w:pPr>
    </w:p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1008"/>
        <w:gridCol w:w="868"/>
      </w:tblGrid>
      <w:tr>
        <w:trPr>
          <w:trHeight w:val="176"/>
        </w:trPr>
        <w:tc>
          <w:tcPr>
            <w:tcW w:w="7578" w:type="dxa"/>
            <w:tcBorders>
              <w:right w:val="single" w:sz="12" w:space="0" w:color="000000"/>
            </w:tcBorders>
          </w:tcPr>
          <w:p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br w:type="page"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Schreiben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: INHALT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sz w:val="22"/>
          <w:szCs w:val="22"/>
        </w:rPr>
      </w:pPr>
    </w:p>
    <w:p>
      <w:pPr>
        <w:spacing w:after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>
      <w:pPr>
        <w:spacing w:after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b) Darstellungsleistung / sprachliche Leistung</w:t>
      </w:r>
    </w:p>
    <w:p>
      <w:pPr>
        <w:spacing w:after="0"/>
        <w:rPr>
          <w:rFonts w:ascii="Arial" w:eastAsia="Arial" w:hAnsi="Arial" w:cs="Arial"/>
          <w:sz w:val="22"/>
          <w:szCs w:val="22"/>
        </w:rPr>
      </w:pPr>
    </w:p>
    <w:p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>
        <w:rPr>
          <w:rFonts w:ascii="Arial" w:eastAsia="Arial" w:hAnsi="Arial" w:cs="Arial"/>
          <w:sz w:val="20"/>
          <w:szCs w:val="20"/>
        </w:rPr>
        <w:t xml:space="preserve"> (GER).</w:t>
      </w:r>
    </w:p>
    <w:p>
      <w:pPr>
        <w:spacing w:after="0"/>
        <w:rPr>
          <w:rFonts w:ascii="Arial" w:eastAsia="Arial" w:hAnsi="Arial"/>
          <w:bCs/>
          <w:sz w:val="22"/>
          <w:szCs w:val="22"/>
        </w:rPr>
      </w:pPr>
    </w:p>
    <w:p>
      <w:pPr>
        <w:spacing w:after="0"/>
        <w:rPr>
          <w:rFonts w:ascii="Arial" w:eastAsia="Arial" w:hAnsi="Arial"/>
          <w:b/>
          <w:sz w:val="20"/>
          <w:szCs w:val="20"/>
        </w:rPr>
      </w:pPr>
    </w:p>
    <w:p>
      <w:pPr>
        <w:spacing w:after="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Kommunikative Textgestaltung </w:t>
      </w:r>
      <w:r>
        <w:rPr>
          <w:rFonts w:ascii="Arial" w:eastAsia="Arial" w:hAnsi="Arial"/>
          <w:sz w:val="20"/>
          <w:szCs w:val="20"/>
        </w:rPr>
        <w:t>[16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3" w:name="_Toc394582272"/>
            <w:bookmarkStart w:id="14" w:name="_Toc394671264"/>
            <w:bookmarkStart w:id="15" w:name="_Toc394672107"/>
            <w:bookmarkStart w:id="16" w:name="_Toc394907173"/>
            <w:bookmarkStart w:id="17" w:name="_Toc394907316"/>
            <w:bookmarkStart w:id="18" w:name="_Toc395012673"/>
            <w:bookmarkStart w:id="19" w:name="_Toc395622454"/>
            <w:bookmarkStart w:id="20" w:name="_Toc395777193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Aufgabenbezug/Textformate:</w:t>
            </w:r>
          </w:p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richtet ihren / seinen Text auf die Aufgabenstellung aus und beachtet die Textsortenmerkmale der jeweils geforderten Zieltextformate.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1" w:name="_Toc394582276"/>
            <w:bookmarkStart w:id="22" w:name="_Toc394671268"/>
            <w:bookmarkStart w:id="23" w:name="_Toc394672111"/>
            <w:bookmarkStart w:id="24" w:name="_Toc394907177"/>
            <w:bookmarkStart w:id="25" w:name="_Toc394907320"/>
            <w:bookmarkStart w:id="26" w:name="_Toc395012677"/>
            <w:bookmarkStart w:id="27" w:name="_Toc395622458"/>
            <w:bookmarkStart w:id="28" w:name="_Toc395777197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Textaufbau: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erstellt einen sachgerecht strukturierten leserfreundlichen Text, u.a. durch sprachliche Verknüpfungen, Absätze als erkennbare Sinnabschnitte.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9" w:name="_Toc394582280"/>
            <w:bookmarkStart w:id="30" w:name="_Toc394671272"/>
            <w:bookmarkStart w:id="31" w:name="_Toc394672115"/>
            <w:bookmarkStart w:id="32" w:name="_Toc394907181"/>
            <w:bookmarkStart w:id="33" w:name="_Toc394907324"/>
            <w:bookmarkStart w:id="34" w:name="_Toc395012681"/>
            <w:bookmarkStart w:id="35" w:name="_Toc395622462"/>
            <w:bookmarkStart w:id="36" w:name="_Toc395777201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Ökonomie (/Belegtechnik):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formuliert hinreichend ausführlich, aber ohne unnötige Wiederholungen und Umständlichkeiten (auch unter funktionaler Verwendung von Verweisen und Zitaten).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7" w:name="_Toc394582282"/>
            <w:bookmarkStart w:id="38" w:name="_Toc394671274"/>
            <w:bookmarkStart w:id="39" w:name="_Toc394672117"/>
            <w:bookmarkStart w:id="40" w:name="_Toc394907183"/>
            <w:bookmarkStart w:id="41" w:name="_Toc394907326"/>
            <w:bookmarkStart w:id="42" w:name="_Toc395012683"/>
            <w:bookmarkStart w:id="43" w:name="_Toc395622464"/>
            <w:bookmarkStart w:id="44" w:name="_Toc395777203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40"/>
        <w:rPr>
          <w:rFonts w:ascii="Arial" w:eastAsia="Arial" w:hAnsi="Arial"/>
          <w:sz w:val="22"/>
          <w:szCs w:val="22"/>
        </w:rPr>
      </w:pPr>
    </w:p>
    <w:p>
      <w:pPr>
        <w:spacing w:after="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Ausdrucksvermögen / Verfügbarkeit sprachlicher Mittel </w:t>
      </w:r>
      <w:r>
        <w:rPr>
          <w:rFonts w:ascii="Arial" w:eastAsia="Arial" w:hAnsi="Arial"/>
          <w:sz w:val="20"/>
          <w:szCs w:val="20"/>
        </w:rPr>
        <w:t>[16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7088"/>
        <w:gridCol w:w="992"/>
        <w:gridCol w:w="874"/>
      </w:tblGrid>
      <w:tr>
        <w:trPr>
          <w:trHeight w:val="6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Eigenständigkeit: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löst sich vom Ausgangstext und formuliert eigenständig.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Wortschatz: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verwendet einen sachlich wie stilistisch angemessenen und differenzierten (allgemeinen, thematischen, analytischen) Wortschatz.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Satzbau: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40"/>
        <w:rPr>
          <w:rFonts w:ascii="Arial" w:eastAsia="Arial" w:hAnsi="Arial"/>
          <w:sz w:val="22"/>
          <w:szCs w:val="22"/>
        </w:rPr>
      </w:pPr>
    </w:p>
    <w:p>
      <w:pPr>
        <w:spacing w:after="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Sprachrichtigkeit </w:t>
      </w:r>
      <w:r>
        <w:rPr>
          <w:rFonts w:ascii="Arial" w:eastAsia="Arial" w:hAnsi="Arial"/>
          <w:sz w:val="20"/>
          <w:szCs w:val="20"/>
        </w:rPr>
        <w:t>[16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Wortschatz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Grammatik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Orthographie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(Rechtschreibung und Zeichensetzung)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sz w:val="12"/>
          <w:szCs w:val="1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SUMME Schreiben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 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Gesamtpunktzahl – Schreiben mit </w:t>
            </w:r>
            <w:r>
              <w:rPr>
                <w:rFonts w:ascii="Arial" w:hAnsi="Arial" w:cs="Arial"/>
                <w:b/>
              </w:rPr>
              <w:t>Leseverstehen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096"/>
        <w:gridCol w:w="3260"/>
      </w:tblGrid>
      <w:t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GESAMTNOTE*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0"/>
        <w:suppressAutoHyphens/>
        <w:spacing w:after="0"/>
        <w:ind w:left="6096"/>
        <w:jc w:val="both"/>
        <w:rPr>
          <w:rFonts w:ascii="Arial" w:eastAsia="Arial Unicode MS" w:hAnsi="Arial"/>
          <w:i/>
          <w:kern w:val="1"/>
        </w:rPr>
      </w:pPr>
      <w:r>
        <w:rPr>
          <w:rFonts w:ascii="Arial" w:eastAsia="Arial Unicode MS" w:hAnsi="Arial"/>
          <w:i/>
          <w:kern w:val="1"/>
        </w:rPr>
        <w:t>Datum und Paraphe:</w:t>
      </w:r>
    </w:p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  <w:r>
        <w:rPr>
          <w:rFonts w:ascii="Arial" w:eastAsia="Arial Unicode MS" w:hAnsi="Arial"/>
          <w:kern w:val="1"/>
          <w:sz w:val="22"/>
          <w:szCs w:val="22"/>
        </w:rPr>
        <w:br w:type="page"/>
      </w:r>
    </w:p>
    <w:p>
      <w:pPr>
        <w:widowControl w:val="0"/>
        <w:suppressAutoHyphens/>
        <w:spacing w:after="0"/>
        <w:jc w:val="both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HINWEISE / Empfehlungen:</w:t>
            </w:r>
          </w:p>
        </w:tc>
      </w:tr>
      <w:tr>
        <w:trPr>
          <w:trHeight w:val="21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>* Zuordnung der Notenstufen zu den Punktzahlen:</w:t>
      </w:r>
    </w:p>
    <w:p>
      <w:pPr>
        <w:spacing w:after="0"/>
        <w:rPr>
          <w:rFonts w:ascii="Times New Roman" w:eastAsia="Times New Roman" w:hAnsi="Times New Roman"/>
          <w:sz w:val="16"/>
          <w:szCs w:val="16"/>
          <w:highlight w:val="yellow"/>
          <w:lang w:eastAsia="de-DE"/>
        </w:rPr>
      </w:pPr>
    </w:p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00"/>
        <w:gridCol w:w="1340"/>
      </w:tblGrid>
      <w:tr>
        <w:trPr>
          <w:trHeight w:val="58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Note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Anteil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Punkte-bereich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sehr gut (1)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72 - 80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gut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60 - 71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befriedigend (3)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48 - 59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ausreichend 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36 - 47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mangelhaft 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16 - 35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ungenügend (6)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0 - 15</w:t>
            </w:r>
          </w:p>
        </w:tc>
      </w:tr>
    </w:tbl>
    <w:p>
      <w:pPr>
        <w:widowControl w:val="0"/>
        <w:suppressAutoHyphens/>
        <w:spacing w:after="0"/>
        <w:jc w:val="both"/>
        <w:rPr>
          <w:rFonts w:ascii="Arial" w:eastAsia="Arial Unicode MS" w:hAnsi="Arial"/>
          <w:b/>
          <w:i/>
          <w:kern w:val="1"/>
          <w:sz w:val="20"/>
          <w:szCs w:val="20"/>
        </w:rPr>
      </w:pPr>
    </w:p>
    <w:sectPr>
      <w:type w:val="continuous"/>
      <w:pgSz w:w="11900" w:h="16840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7165C"/>
    <w:multiLevelType w:val="hybridMultilevel"/>
    <w:tmpl w:val="62F49FEC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564F"/>
    <w:multiLevelType w:val="hybridMultilevel"/>
    <w:tmpl w:val="D66ED888"/>
    <w:lvl w:ilvl="0" w:tplc="6C7AE71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15EF"/>
    <w:multiLevelType w:val="hybridMultilevel"/>
    <w:tmpl w:val="949A43CE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F60"/>
    <w:multiLevelType w:val="hybridMultilevel"/>
    <w:tmpl w:val="E0720AB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FDF"/>
    <w:multiLevelType w:val="hybridMultilevel"/>
    <w:tmpl w:val="6706BF5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C65FA"/>
    <w:multiLevelType w:val="multilevel"/>
    <w:tmpl w:val="057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73BF9"/>
    <w:multiLevelType w:val="hybridMultilevel"/>
    <w:tmpl w:val="1B4C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1471"/>
    <w:multiLevelType w:val="hybridMultilevel"/>
    <w:tmpl w:val="9164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E73"/>
    <w:multiLevelType w:val="hybridMultilevel"/>
    <w:tmpl w:val="625E08CC"/>
    <w:lvl w:ilvl="0" w:tplc="666A60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A40DC8"/>
    <w:multiLevelType w:val="multilevel"/>
    <w:tmpl w:val="AD6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626DB"/>
    <w:multiLevelType w:val="hybridMultilevel"/>
    <w:tmpl w:val="7EE47528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157A"/>
    <w:multiLevelType w:val="hybridMultilevel"/>
    <w:tmpl w:val="1DC4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3CE6"/>
    <w:multiLevelType w:val="hybridMultilevel"/>
    <w:tmpl w:val="076E4726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76CAB4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38A0"/>
    <w:multiLevelType w:val="hybridMultilevel"/>
    <w:tmpl w:val="402AEB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9F5"/>
    <w:multiLevelType w:val="multilevel"/>
    <w:tmpl w:val="FFFFFFFF"/>
    <w:lvl w:ilvl="0">
      <w:start w:val="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829C1"/>
    <w:multiLevelType w:val="hybridMultilevel"/>
    <w:tmpl w:val="F2462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20CF6"/>
    <w:multiLevelType w:val="hybridMultilevel"/>
    <w:tmpl w:val="C4BE4234"/>
    <w:lvl w:ilvl="0" w:tplc="79121086">
      <w:start w:val="2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4262F"/>
    <w:multiLevelType w:val="hybridMultilevel"/>
    <w:tmpl w:val="C93449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162CE"/>
    <w:multiLevelType w:val="hybridMultilevel"/>
    <w:tmpl w:val="89642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2B9C"/>
    <w:multiLevelType w:val="hybridMultilevel"/>
    <w:tmpl w:val="9668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39EA"/>
    <w:multiLevelType w:val="multilevel"/>
    <w:tmpl w:val="FD7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129CE"/>
    <w:multiLevelType w:val="hybridMultilevel"/>
    <w:tmpl w:val="E902AB78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853"/>
    <w:multiLevelType w:val="hybridMultilevel"/>
    <w:tmpl w:val="5B72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6102"/>
    <w:multiLevelType w:val="hybridMultilevel"/>
    <w:tmpl w:val="BC823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F7819"/>
    <w:multiLevelType w:val="hybridMultilevel"/>
    <w:tmpl w:val="DB9E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4ADE"/>
    <w:multiLevelType w:val="hybridMultilevel"/>
    <w:tmpl w:val="F38039F0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36866"/>
    <w:multiLevelType w:val="hybridMultilevel"/>
    <w:tmpl w:val="B20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1DA0"/>
    <w:multiLevelType w:val="hybridMultilevel"/>
    <w:tmpl w:val="58C27E4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53CA2"/>
    <w:multiLevelType w:val="hybridMultilevel"/>
    <w:tmpl w:val="F42CD520"/>
    <w:lvl w:ilvl="0" w:tplc="0407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73AC"/>
    <w:multiLevelType w:val="hybridMultilevel"/>
    <w:tmpl w:val="678E33F4"/>
    <w:lvl w:ilvl="0" w:tplc="0CE4F00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F329C"/>
    <w:multiLevelType w:val="hybridMultilevel"/>
    <w:tmpl w:val="DD6E6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169B"/>
    <w:multiLevelType w:val="hybridMultilevel"/>
    <w:tmpl w:val="D8C22C7E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62FB2"/>
    <w:multiLevelType w:val="hybridMultilevel"/>
    <w:tmpl w:val="3D4CF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36E4"/>
    <w:multiLevelType w:val="hybridMultilevel"/>
    <w:tmpl w:val="3538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61F9E"/>
    <w:multiLevelType w:val="hybridMultilevel"/>
    <w:tmpl w:val="0BECCF9C"/>
    <w:lvl w:ilvl="0" w:tplc="16E48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0F0E"/>
    <w:multiLevelType w:val="hybridMultilevel"/>
    <w:tmpl w:val="5FB659D2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3"/>
  </w:num>
  <w:num w:numId="4">
    <w:abstractNumId w:val="26"/>
  </w:num>
  <w:num w:numId="5">
    <w:abstractNumId w:val="5"/>
  </w:num>
  <w:num w:numId="6">
    <w:abstractNumId w:val="29"/>
  </w:num>
  <w:num w:numId="7">
    <w:abstractNumId w:val="36"/>
  </w:num>
  <w:num w:numId="8">
    <w:abstractNumId w:val="7"/>
  </w:num>
  <w:num w:numId="9">
    <w:abstractNumId w:val="14"/>
  </w:num>
  <w:num w:numId="10">
    <w:abstractNumId w:val="19"/>
  </w:num>
  <w:num w:numId="11">
    <w:abstractNumId w:val="4"/>
  </w:num>
  <w:num w:numId="12">
    <w:abstractNumId w:val="16"/>
  </w:num>
  <w:num w:numId="13">
    <w:abstractNumId w:val="30"/>
  </w:num>
  <w:num w:numId="14">
    <w:abstractNumId w:val="17"/>
  </w:num>
  <w:num w:numId="15">
    <w:abstractNumId w:val="28"/>
  </w:num>
  <w:num w:numId="16">
    <w:abstractNumId w:val="20"/>
  </w:num>
  <w:num w:numId="17">
    <w:abstractNumId w:val="25"/>
  </w:num>
  <w:num w:numId="18">
    <w:abstractNumId w:val="11"/>
  </w:num>
  <w:num w:numId="19">
    <w:abstractNumId w:val="1"/>
  </w:num>
  <w:num w:numId="20">
    <w:abstractNumId w:val="32"/>
  </w:num>
  <w:num w:numId="21">
    <w:abstractNumId w:val="22"/>
  </w:num>
  <w:num w:numId="22">
    <w:abstractNumId w:val="24"/>
  </w:num>
  <w:num w:numId="23">
    <w:abstractNumId w:val="27"/>
  </w:num>
  <w:num w:numId="24">
    <w:abstractNumId w:val="27"/>
  </w:num>
  <w:num w:numId="25">
    <w:abstractNumId w:val="15"/>
  </w:num>
  <w:num w:numId="26">
    <w:abstractNumId w:val="12"/>
  </w:num>
  <w:num w:numId="27">
    <w:abstractNumId w:val="9"/>
  </w:num>
  <w:num w:numId="28">
    <w:abstractNumId w:val="10"/>
  </w:num>
  <w:num w:numId="29">
    <w:abstractNumId w:val="35"/>
  </w:num>
  <w:num w:numId="30">
    <w:abstractNumId w:val="21"/>
  </w:num>
  <w:num w:numId="31">
    <w:abstractNumId w:val="6"/>
  </w:num>
  <w:num w:numId="32">
    <w:abstractNumId w:val="8"/>
  </w:num>
  <w:num w:numId="33">
    <w:abstractNumId w:val="33"/>
  </w:num>
  <w:num w:numId="34">
    <w:abstractNumId w:val="31"/>
  </w:num>
  <w:num w:numId="35">
    <w:abstractNumId w:val="18"/>
  </w:num>
  <w:num w:numId="36">
    <w:abstractNumId w:val="3"/>
  </w:num>
  <w:num w:numId="37">
    <w:abstractNumId w:val="2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64AF51-9A81-46B6-B22A-2FB16F6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sz w:val="24"/>
      <w:szCs w:val="24"/>
      <w:lang w:eastAsia="en-US"/>
    </w:rPr>
  </w:style>
  <w:style w:type="character" w:styleId="Funotenzeichen">
    <w:name w:val="footnote reference"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copy">
    <w:name w:val="copy"/>
    <w:basedOn w:val="Standar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utor">
    <w:name w:val="autor"/>
    <w:basedOn w:val="Absatz-Standardschriftart"/>
  </w:style>
  <w:style w:type="character" w:customStyle="1" w:styleId="datum">
    <w:name w:val="datum"/>
    <w:basedOn w:val="Absatz-Standardschriftart"/>
  </w:style>
  <w:style w:type="character" w:customStyle="1" w:styleId="capslast">
    <w:name w:val="caps last"/>
    <w:basedOn w:val="Absatz-Standardschriftart"/>
  </w:style>
  <w:style w:type="character" w:customStyle="1" w:styleId="stichwort">
    <w:name w:val="stichwort"/>
    <w:basedOn w:val="Absatz-Standardschriftar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sz w:val="24"/>
      <w:szCs w:val="24"/>
      <w:lang w:eastAsia="en-US"/>
    </w:rPr>
  </w:style>
  <w:style w:type="character" w:customStyle="1" w:styleId="Andere">
    <w:name w:val="Andere_"/>
    <w:link w:val="Andere0"/>
    <w:rPr>
      <w:rFonts w:ascii="Times New Roman" w:eastAsia="Times New Roman" w:hAnsi="Times New Roman"/>
    </w:rPr>
  </w:style>
  <w:style w:type="paragraph" w:customStyle="1" w:styleId="Andere0">
    <w:name w:val="Andere"/>
    <w:basedOn w:val="Standard"/>
    <w:link w:val="Andere"/>
    <w:pPr>
      <w:widowControl w:val="0"/>
      <w:spacing w:after="180" w:line="264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abellenbeschriftung">
    <w:name w:val="Tabellenbeschriftung_"/>
    <w:link w:val="Tabellenbeschriftung0"/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pPr>
      <w:widowControl w:val="0"/>
      <w:spacing w:after="0"/>
    </w:pPr>
    <w:rPr>
      <w:rFonts w:ascii="Arial" w:eastAsia="Arial" w:hAnsi="Arial" w:cs="Arial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pPr>
      <w:tabs>
        <w:tab w:val="left" w:pos="284"/>
      </w:tabs>
      <w:suppressAutoHyphens/>
    </w:pPr>
    <w:rPr>
      <w:rFonts w:ascii="Liberation Serif" w:eastAsia="Times New Roman" w:hAnsi="Liberation Serif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Teilaufgabe">
    <w:name w:val="Überschrift-Teilaufgabe"/>
    <w:basedOn w:val="Standard"/>
    <w:next w:val="Standard"/>
    <w:link w:val="berschrift-TeilaufgabeZchn"/>
    <w:pPr>
      <w:keepNext/>
      <w:tabs>
        <w:tab w:val="left" w:pos="284"/>
      </w:tabs>
      <w:spacing w:after="120"/>
    </w:pPr>
    <w:rPr>
      <w:rFonts w:ascii="Liberation Sans" w:eastAsia="Times New Roman" w:hAnsi="Liberation Sans"/>
      <w:b/>
      <w:szCs w:val="22"/>
      <w:lang w:eastAsia="de-DE"/>
    </w:rPr>
  </w:style>
  <w:style w:type="paragraph" w:customStyle="1" w:styleId="Aufzhlungszeichen1">
    <w:name w:val="Aufzählungszeichen1"/>
    <w:basedOn w:val="Standard"/>
    <w:next w:val="Standard"/>
    <w:pPr>
      <w:numPr>
        <w:numId w:val="36"/>
      </w:numPr>
      <w:tabs>
        <w:tab w:val="clear" w:pos="284"/>
      </w:tabs>
      <w:spacing w:after="0" w:line="248" w:lineRule="exact"/>
    </w:pPr>
    <w:rPr>
      <w:rFonts w:ascii="Liberation Serif" w:eastAsia="Times New Roman" w:hAnsi="Liberation Serif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Calibri" w:eastAsia="Calibri" w:hAnsi="Calibri" w:cs="Calibri"/>
      <w:sz w:val="24"/>
      <w:szCs w:val="24"/>
      <w:lang w:bidi="de-DE"/>
    </w:rPr>
  </w:style>
  <w:style w:type="character" w:customStyle="1" w:styleId="berschrift-TeilaufgabeZchn">
    <w:name w:val="Überschrift-Teilaufgabe Zchn"/>
    <w:basedOn w:val="Absatz-Standardschriftart"/>
    <w:link w:val="berschrift-Teilaufgabe"/>
    <w:rPr>
      <w:rFonts w:ascii="Liberation Sans" w:eastAsia="Times New Roman" w:hAnsi="Liberation Sans"/>
      <w:b/>
      <w:sz w:val="24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5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andardsicherung.schulministerium.nrw.de/cms/zentralabitur-gost/faecher/getfile.php?file=579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F9BE-D998-425A-AD9D-65A4040C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Andrea Meinecke</dc:creator>
  <cp:keywords/>
  <cp:lastModifiedBy>Willenbrink, Birgit</cp:lastModifiedBy>
  <cp:revision>5</cp:revision>
  <cp:lastPrinted>2015-02-15T11:31:00Z</cp:lastPrinted>
  <dcterms:created xsi:type="dcterms:W3CDTF">2024-01-26T07:16:00Z</dcterms:created>
  <dcterms:modified xsi:type="dcterms:W3CDTF">2024-03-19T09:47:00Z</dcterms:modified>
</cp:coreProperties>
</file>