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5A6D" w14:textId="77777777" w:rsidR="00E12D29" w:rsidRPr="00A34B3D" w:rsidRDefault="00D94266" w:rsidP="00E77D49">
      <w:pPr>
        <w:rPr>
          <w:rFonts w:asciiTheme="minorHAnsi" w:hAnsiTheme="minorHAnsi" w:cstheme="minorHAnsi"/>
          <w:sz w:val="32"/>
          <w:szCs w:val="32"/>
        </w:rPr>
      </w:pPr>
      <w:r w:rsidRPr="00A34B3D">
        <w:rPr>
          <w:rFonts w:asciiTheme="minorHAnsi" w:hAnsiTheme="minorHAnsi" w:cstheme="minorHAnsi"/>
          <w:b/>
          <w:sz w:val="32"/>
          <w:szCs w:val="32"/>
          <w:u w:val="single"/>
        </w:rPr>
        <w:t>Mögliches Glossar</w:t>
      </w:r>
      <w:r w:rsidR="006D7CFF" w:rsidRPr="00A34B3D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tbl>
      <w:tblPr>
        <w:tblStyle w:val="TabelleAktuell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729"/>
        <w:gridCol w:w="6343"/>
      </w:tblGrid>
      <w:tr w:rsidR="00E12D29" w14:paraId="13822674" w14:textId="77777777" w:rsidTr="00411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7" w:type="dxa"/>
            <w:tcBorders>
              <w:top w:val="nil"/>
              <w:bottom w:val="single" w:sz="18" w:space="0" w:color="FFFFFF"/>
            </w:tcBorders>
            <w:shd w:val="pct20" w:color="000000" w:fill="800080"/>
          </w:tcPr>
          <w:p w14:paraId="3538FC69" w14:textId="77777777" w:rsidR="00D94266" w:rsidRPr="005A4CB2" w:rsidRDefault="00D94266" w:rsidP="00D94266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5A4CB2">
              <w:rPr>
                <w:rFonts w:asciiTheme="minorHAnsi" w:hAnsiTheme="minorHAnsi" w:cstheme="minorHAnsi"/>
                <w:sz w:val="36"/>
                <w:szCs w:val="36"/>
              </w:rPr>
              <w:t>Begriff</w:t>
            </w:r>
          </w:p>
        </w:tc>
        <w:tc>
          <w:tcPr>
            <w:tcW w:w="6410" w:type="dxa"/>
            <w:tcBorders>
              <w:top w:val="nil"/>
              <w:bottom w:val="single" w:sz="18" w:space="0" w:color="FFFFFF"/>
            </w:tcBorders>
            <w:shd w:val="pct20" w:color="000000" w:fill="800080"/>
          </w:tcPr>
          <w:p w14:paraId="663828CD" w14:textId="77777777" w:rsidR="00D94266" w:rsidRPr="005A4CB2" w:rsidRDefault="00D94266" w:rsidP="00D94266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5A4CB2">
              <w:rPr>
                <w:rFonts w:asciiTheme="minorHAnsi" w:hAnsiTheme="minorHAnsi" w:cstheme="minorHAnsi"/>
                <w:sz w:val="36"/>
                <w:szCs w:val="36"/>
              </w:rPr>
              <w:t>Erklärung</w:t>
            </w:r>
          </w:p>
        </w:tc>
      </w:tr>
      <w:tr w:rsidR="00E12D29" w14:paraId="09EA5ACB" w14:textId="77777777" w:rsidTr="00411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57" w:type="dxa"/>
            <w:tcBorders>
              <w:top w:val="single" w:sz="18" w:space="0" w:color="FFFFFF"/>
            </w:tcBorders>
          </w:tcPr>
          <w:p w14:paraId="0309EBCA" w14:textId="77777777" w:rsidR="00D94266" w:rsidRPr="00411E90" w:rsidRDefault="00D94266" w:rsidP="004A50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E90">
              <w:rPr>
                <w:rFonts w:asciiTheme="minorHAnsi" w:hAnsiTheme="minorHAnsi" w:cstheme="minorHAnsi"/>
                <w:b/>
                <w:sz w:val="28"/>
                <w:szCs w:val="28"/>
              </w:rPr>
              <w:t>AO-SF</w:t>
            </w:r>
          </w:p>
        </w:tc>
        <w:tc>
          <w:tcPr>
            <w:tcW w:w="6410" w:type="dxa"/>
            <w:tcBorders>
              <w:top w:val="single" w:sz="18" w:space="0" w:color="FFFFFF"/>
            </w:tcBorders>
          </w:tcPr>
          <w:p w14:paraId="2EA747FA" w14:textId="77777777" w:rsidR="00D94266" w:rsidRPr="00AE3AFA" w:rsidRDefault="00D94266" w:rsidP="00D94266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usbildungs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rdnung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onderpädagogische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örderung NRW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810003" w14:textId="77777777" w:rsidR="00D94266" w:rsidRPr="00AE3AFA" w:rsidRDefault="007A0AD2" w:rsidP="00E12D29">
            <w:pPr>
              <w:pStyle w:val="Listenabsatz"/>
              <w:numPr>
                <w:ilvl w:val="0"/>
                <w:numId w:val="9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Zur </w:t>
            </w:r>
            <w:r w:rsidR="00D94266" w:rsidRPr="00AE3AFA">
              <w:rPr>
                <w:rFonts w:asciiTheme="minorHAnsi" w:hAnsiTheme="minorHAnsi" w:cstheme="minorHAnsi"/>
                <w:sz w:val="22"/>
                <w:szCs w:val="22"/>
              </w:rPr>
              <w:t>Regelung des Verfahrens zur Feststellung des sonderpädagogischen Förderbedarfs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4CB2" w14:paraId="2C924202" w14:textId="77777777" w:rsidTr="00E12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57" w:type="dxa"/>
          </w:tcPr>
          <w:p w14:paraId="7EA9E034" w14:textId="77777777" w:rsidR="00D94266" w:rsidRPr="00411E90" w:rsidRDefault="00003B91" w:rsidP="004A50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E90">
              <w:rPr>
                <w:rFonts w:asciiTheme="minorHAnsi" w:hAnsiTheme="minorHAnsi" w:cstheme="minorHAnsi"/>
                <w:b/>
                <w:sz w:val="28"/>
                <w:szCs w:val="28"/>
              </w:rPr>
              <w:t>Feststellungsbescheid</w:t>
            </w:r>
          </w:p>
        </w:tc>
        <w:tc>
          <w:tcPr>
            <w:tcW w:w="6410" w:type="dxa"/>
          </w:tcPr>
          <w:p w14:paraId="560B2F83" w14:textId="77777777" w:rsidR="00D94266" w:rsidRPr="00AE3AFA" w:rsidRDefault="00003B91" w:rsidP="00003B91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Feststellung</w:t>
            </w:r>
            <w:r w:rsidR="00F013E0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, das heißt </w:t>
            </w:r>
            <w:r w:rsidR="00F013E0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Anerkennung</w:t>
            </w:r>
            <w:r w:rsidR="00F013E0" w:rsidRPr="00AE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3E0" w:rsidRPr="00AE3AFA">
              <w:rPr>
                <w:rFonts w:asciiTheme="minorHAnsi" w:hAnsiTheme="minorHAnsi" w:cstheme="minorHAnsi"/>
                <w:sz w:val="22"/>
                <w:szCs w:val="22"/>
              </w:rPr>
              <w:t>des sonderpädagogischen Förderbedarfs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013E0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2AA1EA" w14:textId="77777777" w:rsidR="00F013E0" w:rsidRPr="00AE3AFA" w:rsidRDefault="00F013E0" w:rsidP="00E12D29">
            <w:pPr>
              <w:pStyle w:val="Listenabsatz"/>
              <w:numPr>
                <w:ilvl w:val="0"/>
                <w:numId w:val="10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Benennung des Förderschwerpunktes und des Förderortes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12D29" w:rsidRPr="00E3130F" w14:paraId="257616E3" w14:textId="77777777" w:rsidTr="00E1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57" w:type="dxa"/>
          </w:tcPr>
          <w:p w14:paraId="01FB22D1" w14:textId="77777777" w:rsidR="00D94266" w:rsidRPr="00411E90" w:rsidRDefault="00F013E0" w:rsidP="004A50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E90">
              <w:rPr>
                <w:rFonts w:asciiTheme="minorHAnsi" w:hAnsiTheme="minorHAnsi" w:cstheme="minorHAnsi"/>
                <w:b/>
                <w:sz w:val="28"/>
                <w:szCs w:val="28"/>
              </w:rPr>
              <w:t>Förderschwerpunkte</w:t>
            </w:r>
          </w:p>
        </w:tc>
        <w:tc>
          <w:tcPr>
            <w:tcW w:w="6410" w:type="dxa"/>
          </w:tcPr>
          <w:p w14:paraId="1A736878" w14:textId="77777777" w:rsidR="003556CF" w:rsidRPr="00AE3AFA" w:rsidRDefault="009E4AAC" w:rsidP="00E3130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§ 19 (2) Schulgesetz</w:t>
            </w:r>
            <w:r w:rsidR="00E3130F" w:rsidRPr="00AE3A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7B9471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„Die sonderpädagogische Förderung umfasst die </w:t>
            </w:r>
            <w:r w:rsidRPr="00AE3A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Förderschwerpunkte</w:t>
            </w:r>
          </w:p>
          <w:p w14:paraId="17FAA385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1. Lernen,</w:t>
            </w:r>
          </w:p>
          <w:p w14:paraId="055FF173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2. Sprache,</w:t>
            </w:r>
          </w:p>
          <w:p w14:paraId="4CBE6ADF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3. Emotionale und soziale Entwicklung,</w:t>
            </w:r>
          </w:p>
          <w:p w14:paraId="4016B94A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4. Hören und Kommunikation,</w:t>
            </w:r>
          </w:p>
          <w:p w14:paraId="42CF2246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5. Sehen,</w:t>
            </w:r>
          </w:p>
          <w:p w14:paraId="1F62C1D5" w14:textId="77777777" w:rsidR="00E3130F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6. Geistige Entwicklung,</w:t>
            </w:r>
          </w:p>
          <w:p w14:paraId="2AB2B929" w14:textId="77777777" w:rsidR="00F013E0" w:rsidRPr="00AE3AFA" w:rsidRDefault="00E3130F" w:rsidP="00E31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ab/>
              <w:t>7. Körperliche und motorische Entwicklung.“</w:t>
            </w:r>
          </w:p>
        </w:tc>
      </w:tr>
      <w:tr w:rsidR="00E12D29" w14:paraId="5DC82AF1" w14:textId="77777777" w:rsidTr="00E12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57" w:type="dxa"/>
          </w:tcPr>
          <w:p w14:paraId="3E58D6C2" w14:textId="77777777" w:rsidR="002C0034" w:rsidRPr="00411E90" w:rsidRDefault="002C0034" w:rsidP="00FE79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E90">
              <w:rPr>
                <w:rFonts w:asciiTheme="minorHAnsi" w:hAnsiTheme="minorHAnsi" w:cstheme="minorHAnsi"/>
                <w:b/>
                <w:sz w:val="28"/>
                <w:szCs w:val="28"/>
              </w:rPr>
              <w:t>Inklusion</w:t>
            </w:r>
          </w:p>
        </w:tc>
        <w:tc>
          <w:tcPr>
            <w:tcW w:w="6410" w:type="dxa"/>
          </w:tcPr>
          <w:p w14:paraId="7133B793" w14:textId="77777777" w:rsidR="002C0034" w:rsidRPr="00AE3AFA" w:rsidRDefault="00E12D29" w:rsidP="00630078">
            <w:pPr>
              <w:pStyle w:val="Listenabsatz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Auf Grundlage des </w:t>
            </w:r>
            <w:r w:rsidR="002C0034" w:rsidRPr="00AE3AFA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2C0034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24 der </w:t>
            </w:r>
            <w:r w:rsidR="00DE7D7B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 - </w:t>
            </w:r>
            <w:r w:rsidR="002C0034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Behindertenrechtskonvention</w:t>
            </w:r>
            <w:r w:rsidR="002C0034" w:rsidRPr="00AE3AFA">
              <w:rPr>
                <w:rFonts w:asciiTheme="minorHAnsi" w:hAnsiTheme="minorHAnsi" w:cstheme="minorHAnsi"/>
                <w:sz w:val="22"/>
                <w:szCs w:val="22"/>
              </w:rPr>
              <w:t>, die 2009 in Deutschland in Kraft trat:</w:t>
            </w:r>
          </w:p>
          <w:p w14:paraId="68168034" w14:textId="77777777" w:rsidR="00FE790A" w:rsidRPr="00AE3AFA" w:rsidRDefault="00FE790A" w:rsidP="00FE790A">
            <w:pPr>
              <w:pStyle w:val="Listenabsatz"/>
              <w:spacing w:before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14A32" w14:textId="77777777" w:rsidR="002C0034" w:rsidRPr="00AE3AFA" w:rsidRDefault="002C0034" w:rsidP="00630078">
            <w:pPr>
              <w:pStyle w:val="Listenabsatz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„Die Vertrag</w:t>
            </w:r>
            <w:r w:rsidR="00195F19" w:rsidRPr="00AE3AF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staaten anerkennen das Recht von Menschen mit Behinderung auf Bildung. Um dieses Recht ohne Diskriminierung und auf der Grundlage der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Chancengleichheit 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zu verwirklichen, gewährleisten die Vertragsstaaten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ein integratives [inklusives] Bildungssystem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auf allen Ebenen…Bei der Verwirklichung dieses Rechts stellen die Vertragsstaaten sicher, dass…Menschen mit Behinderungen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gleichberechtigt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mit anderen in der Gemeinschaft…Zugang zu einem integrativen [inklusiven], hochwertigen und unentgeltlichen Unterricht an Grundschulen und weiterführenden Schulen haben;“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90A53" w14:paraId="50736F83" w14:textId="77777777" w:rsidTr="00E1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57" w:type="dxa"/>
          </w:tcPr>
          <w:p w14:paraId="63244407" w14:textId="77777777" w:rsidR="00990A53" w:rsidRDefault="00990A53" w:rsidP="00FE79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Inklusionsbeauftragte</w:t>
            </w:r>
          </w:p>
          <w:p w14:paraId="0152B0A4" w14:textId="097445A6" w:rsidR="00990A53" w:rsidRPr="00411E90" w:rsidRDefault="00990A53" w:rsidP="00FE79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14:paraId="5C4F2CDD" w14:textId="489699DC" w:rsidR="000C1610" w:rsidRPr="00AE3AFA" w:rsidRDefault="00990A53" w:rsidP="00630078">
            <w:pPr>
              <w:pStyle w:val="Listenabsatz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Bei der Umsetzung von Inklusion an Berufskolle</w:t>
            </w:r>
            <w:r w:rsidR="000C1610" w:rsidRPr="00AE3AFA">
              <w:rPr>
                <w:rFonts w:asciiTheme="minorHAnsi" w:hAnsiTheme="minorHAnsi" w:cstheme="minorHAnsi"/>
                <w:sz w:val="22"/>
                <w:szCs w:val="22"/>
              </w:rPr>
              <w:t>gs agieren sehr viele Beteiligte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mit ganz unterschiedlichen Aufgaben. Die Inklusionsbeauftragten </w:t>
            </w:r>
            <w:r w:rsidR="000C1610" w:rsidRPr="00AE3AFA">
              <w:rPr>
                <w:rFonts w:asciiTheme="minorHAnsi" w:hAnsiTheme="minorHAnsi" w:cstheme="minorHAnsi"/>
                <w:sz w:val="22"/>
                <w:szCs w:val="22"/>
              </w:rPr>
              <w:t>begleiten und unterstützten die einzelnen Akteure im Rahme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>n des für das Berufskolleg ABC</w:t>
            </w:r>
            <w:r w:rsidR="000C1610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verbindlich festgelegten Standar</w:t>
            </w:r>
            <w:r w:rsidR="00050437">
              <w:rPr>
                <w:rFonts w:asciiTheme="minorHAnsi" w:hAnsiTheme="minorHAnsi" w:cstheme="minorHAnsi"/>
                <w:sz w:val="22"/>
                <w:szCs w:val="22"/>
              </w:rPr>
              <w:t>disierungsverfahren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C1610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5A0738">
              <w:rPr>
                <w:rFonts w:asciiTheme="minorHAnsi" w:hAnsiTheme="minorHAnsi" w:cstheme="minorHAnsi"/>
                <w:sz w:val="22"/>
                <w:szCs w:val="22"/>
              </w:rPr>
              <w:t>klusion in Zusammenarbeit mit der Oberen Schulaufsichtsbehörde.</w:t>
            </w:r>
          </w:p>
          <w:p w14:paraId="0BE3F187" w14:textId="77777777" w:rsidR="008C67DA" w:rsidRDefault="008C67DA" w:rsidP="00F07036">
            <w:pPr>
              <w:pStyle w:val="Listenabsatz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FEF8C" w14:textId="116384F1" w:rsidR="000C1610" w:rsidRDefault="000C1610" w:rsidP="00F07036">
            <w:pPr>
              <w:pStyle w:val="Listenabsatz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Bedingt durch d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 xml:space="preserve">ie Größe der Berufskollegs empfiehlt 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 xml:space="preserve">sich, 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pro Abteilung ein bis zwei Inklusionsbeauftragte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 xml:space="preserve"> zu benennen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. Sie sind direkte Ansprechpart</w:t>
            </w:r>
            <w:r w:rsidR="004F47A6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ner für die konkreten Inklusionsfälle der einzelnen Abteilungen. Ein regelmäßiger Austausch findet im Inklusionsteam </w:t>
            </w:r>
            <w:r w:rsidR="00F07036" w:rsidRPr="00AE3AFA">
              <w:rPr>
                <w:rFonts w:asciiTheme="minorHAnsi" w:hAnsiTheme="minorHAnsi" w:cstheme="minorHAnsi"/>
                <w:sz w:val="22"/>
                <w:szCs w:val="22"/>
              </w:rPr>
              <w:t>unter Leitung der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 xml:space="preserve"> Koordinationsstelle Inklusion statt</w:t>
            </w:r>
            <w:r w:rsidR="00F07036" w:rsidRPr="00AE3AFA">
              <w:rPr>
                <w:rFonts w:asciiTheme="minorHAnsi" w:hAnsiTheme="minorHAnsi" w:cstheme="minorHAnsi"/>
                <w:sz w:val="22"/>
                <w:szCs w:val="22"/>
              </w:rPr>
              <w:t>, die als Stabstelle der Schulleitung den Inklusi</w:t>
            </w:r>
            <w:r w:rsidR="008C67DA">
              <w:rPr>
                <w:rFonts w:asciiTheme="minorHAnsi" w:hAnsiTheme="minorHAnsi" w:cstheme="minorHAnsi"/>
                <w:sz w:val="22"/>
                <w:szCs w:val="22"/>
              </w:rPr>
              <w:t>onsprozess am Berufskolleg ABC verantwortlich wahrnimmt</w:t>
            </w:r>
            <w:r w:rsidR="00F07036"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B5E734" w14:textId="77777777" w:rsidR="00C246E9" w:rsidRPr="00AE3AFA" w:rsidRDefault="00C246E9" w:rsidP="00F07036">
            <w:pPr>
              <w:pStyle w:val="Listenabsatz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2D29" w:rsidRPr="00E12D29" w14:paraId="50C2F92F" w14:textId="77777777" w:rsidTr="00E12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57" w:type="dxa"/>
          </w:tcPr>
          <w:p w14:paraId="7789C236" w14:textId="77777777" w:rsidR="002C0034" w:rsidRPr="00411E90" w:rsidRDefault="002C0034" w:rsidP="002C00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E90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Integrationshelfer</w:t>
            </w:r>
          </w:p>
        </w:tc>
        <w:tc>
          <w:tcPr>
            <w:tcW w:w="6410" w:type="dxa"/>
          </w:tcPr>
          <w:p w14:paraId="7AEC98B6" w14:textId="77777777" w:rsidR="002C0034" w:rsidRPr="00AE3AFA" w:rsidRDefault="002C0034" w:rsidP="002C0034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Begleitung der Schülerin/des Schülers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beim Schulbesuch und wenn erforderlich auf dem Schulweg, um Hilfestellung zu geben oder behindertenbedingte Einschränkungen auszugleichen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AB6B23" w14:textId="77777777" w:rsidR="002C0034" w:rsidRPr="00AE3AFA" w:rsidRDefault="00F11B38" w:rsidP="002C0034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C0034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ft 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auf </w:t>
            </w:r>
            <w:r w:rsidR="002C0034" w:rsidRPr="00AE3AFA">
              <w:rPr>
                <w:rFonts w:asciiTheme="minorHAnsi" w:hAnsiTheme="minorHAnsi" w:cstheme="minorHAnsi"/>
                <w:sz w:val="22"/>
                <w:szCs w:val="22"/>
              </w:rPr>
              <w:t>Basis eines amtsärztlichen bzw. schulärztlichem Gutachten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s,</w:t>
            </w:r>
          </w:p>
          <w:p w14:paraId="083A02A6" w14:textId="77777777" w:rsidR="00576894" w:rsidRPr="00AE3AFA" w:rsidRDefault="00576894" w:rsidP="002C0034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kann auch für Schülerinnen/Schüler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ohne 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sonderpädagogischen Förderbedarf bewilligt werden,</w:t>
            </w:r>
          </w:p>
          <w:p w14:paraId="3484411E" w14:textId="77777777" w:rsidR="002C0034" w:rsidRPr="00AE3AFA" w:rsidRDefault="002C0034" w:rsidP="002C0034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können beispielsweise Personen sein, die den Bundesfreiwilligendienst oder ein Freiwilliges Soziales Jahr ableisten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4CB2" w14:paraId="4414BB5F" w14:textId="77777777" w:rsidTr="00E1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57" w:type="dxa"/>
          </w:tcPr>
          <w:p w14:paraId="62DE5F62" w14:textId="77777777" w:rsidR="002C0034" w:rsidRPr="00411E90" w:rsidRDefault="002C0034" w:rsidP="002C00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1E90">
              <w:rPr>
                <w:rFonts w:asciiTheme="minorHAnsi" w:hAnsiTheme="minorHAnsi" w:cstheme="minorHAnsi"/>
                <w:b/>
                <w:sz w:val="28"/>
                <w:szCs w:val="28"/>
              </w:rPr>
              <w:t>Nachteilsausgleich</w:t>
            </w:r>
          </w:p>
        </w:tc>
        <w:tc>
          <w:tcPr>
            <w:tcW w:w="6410" w:type="dxa"/>
          </w:tcPr>
          <w:p w14:paraId="07FE0E3E" w14:textId="77777777" w:rsidR="007A0AD2" w:rsidRPr="00AE3AFA" w:rsidRDefault="007A0AD2" w:rsidP="00C67A0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Möglichkeit der Gewährung eines Nachteilsausgleichs für folgende Schülerinnen und Schüler:</w:t>
            </w:r>
          </w:p>
          <w:p w14:paraId="3875199F" w14:textId="77777777" w:rsidR="007A0AD2" w:rsidRPr="00AE3AFA" w:rsidRDefault="007A0AD2" w:rsidP="00442104">
            <w:pPr>
              <w:spacing w:before="120"/>
              <w:ind w:left="62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mit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sonderpädagogischen Förderbedarf,</w:t>
            </w:r>
          </w:p>
          <w:p w14:paraId="7F64ABF8" w14:textId="77777777" w:rsidR="007A0AD2" w:rsidRPr="00AE3AFA" w:rsidRDefault="007A0AD2" w:rsidP="007A0AD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2. mit Behinderung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ohne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sonderpädagogischen Förderbedarf,</w:t>
            </w:r>
          </w:p>
          <w:p w14:paraId="542646AC" w14:textId="77777777" w:rsidR="00442104" w:rsidRPr="00AE3AFA" w:rsidRDefault="007A0AD2" w:rsidP="00442104">
            <w:pPr>
              <w:spacing w:after="120"/>
              <w:ind w:left="62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3. mit medizinisch attestierten langfristigen oder chronischen 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Erkrankungen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721ECE" w14:textId="77777777" w:rsidR="00C67A0F" w:rsidRPr="00AE3AFA" w:rsidRDefault="00C67A0F" w:rsidP="00C67A0F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Dokumentation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der Maßnahmen des Nachteilsausgleich als Beleg zur rechtlichen Absicherung erforderlich.</w:t>
            </w:r>
          </w:p>
        </w:tc>
      </w:tr>
      <w:tr w:rsidR="00E12D29" w:rsidRPr="00AE3AFA" w14:paraId="04892E4E" w14:textId="77777777" w:rsidTr="00E12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57" w:type="dxa"/>
          </w:tcPr>
          <w:p w14:paraId="6A6512FC" w14:textId="77777777" w:rsidR="002C0034" w:rsidRPr="009F590C" w:rsidRDefault="00F11B38" w:rsidP="002C00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90C">
              <w:rPr>
                <w:rFonts w:asciiTheme="minorHAnsi" w:hAnsiTheme="minorHAnsi" w:cstheme="minorHAnsi"/>
                <w:b/>
                <w:sz w:val="28"/>
                <w:szCs w:val="28"/>
              </w:rPr>
              <w:t>Sonderpädagoge</w:t>
            </w:r>
          </w:p>
        </w:tc>
        <w:tc>
          <w:tcPr>
            <w:tcW w:w="6410" w:type="dxa"/>
          </w:tcPr>
          <w:p w14:paraId="429647D4" w14:textId="77777777" w:rsidR="00962DA6" w:rsidRPr="00AE3AFA" w:rsidRDefault="007046D2" w:rsidP="00962DA6">
            <w:pPr>
              <w:pStyle w:val="StandardWeb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sind Lehrer, die</w:t>
            </w:r>
            <w:r w:rsidR="00962DA6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sich in Theorie und Praxis mit der Sonderpädagogik auseinandergesetzt haben,</w:t>
            </w:r>
          </w:p>
          <w:p w14:paraId="1A4E7AA4" w14:textId="77777777" w:rsidR="00442104" w:rsidRPr="00AE3AFA" w:rsidRDefault="007046D2" w:rsidP="007C124F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62DA6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abei wird der </w:t>
            </w:r>
            <w:r w:rsidR="00442104" w:rsidRPr="00AE3AFA">
              <w:rPr>
                <w:rFonts w:asciiTheme="minorHAnsi" w:hAnsiTheme="minorHAnsi" w:cstheme="minorHAnsi"/>
                <w:sz w:val="22"/>
                <w:szCs w:val="22"/>
              </w:rPr>
              <w:t>Begriff Sonderpädago</w:t>
            </w:r>
            <w:r w:rsidR="00962DA6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ge </w:t>
            </w:r>
            <w:r w:rsidR="00442104" w:rsidRPr="00AE3AFA">
              <w:rPr>
                <w:rFonts w:asciiTheme="minorHAnsi" w:hAnsiTheme="minorHAnsi" w:cstheme="minorHAnsi"/>
                <w:sz w:val="22"/>
                <w:szCs w:val="22"/>
              </w:rPr>
              <w:t>aufgrund der spezifischen Bereiche der Sonderpädagogik weiter unterteilt in:</w:t>
            </w:r>
          </w:p>
          <w:p w14:paraId="4FC3AB43" w14:textId="77777777" w:rsidR="00442104" w:rsidRPr="00AE3AFA" w:rsidRDefault="00A83179" w:rsidP="007C124F">
            <w:pPr>
              <w:numPr>
                <w:ilvl w:val="0"/>
                <w:numId w:val="14"/>
              </w:numPr>
              <w:ind w:hanging="35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8" w:tooltip="Blindenpädagoge (Seite nicht vorhanden)" w:history="1"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Blindenpädagoge</w:t>
              </w:r>
            </w:hyperlink>
          </w:p>
          <w:p w14:paraId="208E0055" w14:textId="77777777" w:rsidR="00442104" w:rsidRPr="00AE3AFA" w:rsidRDefault="00A83179" w:rsidP="0044210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ooltip="Gehörlosenpädagoge (Seite nicht vorhanden)" w:history="1"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Gehörlosenpädagoge</w:t>
              </w:r>
            </w:hyperlink>
          </w:p>
          <w:p w14:paraId="02AF924D" w14:textId="77777777" w:rsidR="00442104" w:rsidRPr="00AE3AFA" w:rsidRDefault="00A83179" w:rsidP="0044210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tooltip="Geistigbehindertenpädagoge (Seite nicht vorhanden)" w:history="1">
              <w:proofErr w:type="spellStart"/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Geistigbehindertenpädagoge</w:t>
              </w:r>
              <w:proofErr w:type="spellEnd"/>
            </w:hyperlink>
          </w:p>
          <w:p w14:paraId="248C4A26" w14:textId="77777777" w:rsidR="00442104" w:rsidRPr="00AE3AFA" w:rsidRDefault="00A83179" w:rsidP="0044210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ooltip="Lernbehindertenpädagoge (Seite nicht vorhanden)" w:history="1"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Lernbehindertenpädagoge</w:t>
              </w:r>
            </w:hyperlink>
          </w:p>
          <w:p w14:paraId="350553CC" w14:textId="77777777" w:rsidR="00442104" w:rsidRPr="00AE3AFA" w:rsidRDefault="00A83179" w:rsidP="0044210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ooltip="Sprachbehindertenpädagoge (Seite nicht vorhanden)" w:history="1"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Sprachbehindertenpädagoge</w:t>
              </w:r>
            </w:hyperlink>
          </w:p>
          <w:p w14:paraId="286C883C" w14:textId="77777777" w:rsidR="00442104" w:rsidRPr="00AE3AFA" w:rsidRDefault="00A83179" w:rsidP="0044210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ooltip="Körperbehindertenpädagoge (Seite nicht vorhanden)" w:history="1"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Körperbehindertenpädagoge</w:t>
              </w:r>
            </w:hyperlink>
          </w:p>
          <w:p w14:paraId="66B33871" w14:textId="77777777" w:rsidR="00F11B38" w:rsidRPr="00AE3AFA" w:rsidRDefault="00A83179" w:rsidP="0044210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14" w:tooltip="Verhaltensgestörtenpädagoge (Seite nicht vorhanden)" w:history="1">
              <w:proofErr w:type="spellStart"/>
              <w:r w:rsidR="00442104" w:rsidRPr="00AE3AF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Verhaltensgestörtenpädagoge</w:t>
              </w:r>
              <w:proofErr w:type="spellEnd"/>
            </w:hyperlink>
          </w:p>
        </w:tc>
      </w:tr>
      <w:tr w:rsidR="00E12D29" w:rsidRPr="00AE3AFA" w14:paraId="22EFA056" w14:textId="77777777" w:rsidTr="00E1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57" w:type="dxa"/>
          </w:tcPr>
          <w:p w14:paraId="1DC2255A" w14:textId="77777777" w:rsidR="00F11B38" w:rsidRPr="009F590C" w:rsidRDefault="00F11B38" w:rsidP="002C00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90C">
              <w:rPr>
                <w:rFonts w:asciiTheme="minorHAnsi" w:hAnsiTheme="minorHAnsi" w:cstheme="minorHAnsi"/>
                <w:b/>
                <w:sz w:val="28"/>
                <w:szCs w:val="28"/>
              </w:rPr>
              <w:t>Sonderpädagogischer Förderbedarf</w:t>
            </w:r>
          </w:p>
        </w:tc>
        <w:tc>
          <w:tcPr>
            <w:tcW w:w="6410" w:type="dxa"/>
          </w:tcPr>
          <w:p w14:paraId="3C1FBE52" w14:textId="77777777" w:rsidR="00442104" w:rsidRPr="00AE3AFA" w:rsidRDefault="00442104" w:rsidP="00442104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Verfahren zur </w:t>
            </w:r>
            <w:r w:rsidR="00F11B38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Ermittlung des sonderpädagogischen Förderbedarfs nach </w:t>
            </w:r>
            <w:r w:rsidR="00946397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946397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397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Abschnitt §§ 10 ff </w:t>
            </w:r>
            <w:r w:rsidR="00962DA6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AO</w:t>
            </w:r>
            <w:r w:rsidR="00DE7D7B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</w:t>
            </w:r>
            <w:r w:rsidR="00F11B38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SF</w:t>
            </w:r>
            <w:r w:rsidR="00FE790A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790A" w:rsidRPr="00AE3AFA">
              <w:rPr>
                <w:rFonts w:asciiTheme="minorHAnsi" w:hAnsiTheme="minorHAnsi" w:cstheme="minorHAnsi"/>
                <w:sz w:val="22"/>
                <w:szCs w:val="22"/>
              </w:rPr>
              <w:t>durch die Bezirksregierung</w:t>
            </w:r>
            <w:r w:rsidR="00E12D29" w:rsidRPr="00AE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D5145A" w14:textId="77777777" w:rsidR="00962DA6" w:rsidRPr="00AE3AFA" w:rsidRDefault="00962DA6" w:rsidP="00442104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Verfahren in der Sekundarstufe II nach </w:t>
            </w:r>
            <w:r w:rsidR="00946397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§ 19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AO-SF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7A7BE4" w14:textId="77777777" w:rsidR="00442104" w:rsidRPr="00AE3AFA" w:rsidRDefault="00442104" w:rsidP="00E12D29">
            <w:pPr>
              <w:pStyle w:val="Listenabsatz"/>
              <w:numPr>
                <w:ilvl w:val="0"/>
                <w:numId w:val="15"/>
              </w:numPr>
              <w:spacing w:after="120"/>
              <w:ind w:left="41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Anerkennung durch den Feststellungsbescheid.</w:t>
            </w:r>
          </w:p>
        </w:tc>
      </w:tr>
      <w:tr w:rsidR="00442104" w:rsidRPr="00AE3AFA" w14:paraId="495809AE" w14:textId="77777777" w:rsidTr="00E12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57" w:type="dxa"/>
          </w:tcPr>
          <w:p w14:paraId="658702AB" w14:textId="77777777" w:rsidR="00F11B38" w:rsidRPr="009F590C" w:rsidRDefault="00F11B38" w:rsidP="002C00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90C">
              <w:rPr>
                <w:rFonts w:asciiTheme="minorHAnsi" w:hAnsiTheme="minorHAnsi" w:cstheme="minorHAnsi"/>
                <w:b/>
                <w:sz w:val="28"/>
                <w:szCs w:val="28"/>
              </w:rPr>
              <w:t>Sonderpädagogischer Förderplan</w:t>
            </w:r>
          </w:p>
          <w:p w14:paraId="077E5708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DD7984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B8BDB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810E4C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0E6D3A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81080A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1E236C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1E47C" w14:textId="77777777" w:rsidR="00D762E3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E6DA28" w14:textId="77777777" w:rsidR="00D762E3" w:rsidRPr="00AE3AFA" w:rsidRDefault="00D762E3" w:rsidP="002C00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10" w:type="dxa"/>
          </w:tcPr>
          <w:p w14:paraId="7C4C2557" w14:textId="77777777" w:rsidR="00E12D29" w:rsidRPr="00AE3AFA" w:rsidRDefault="00F11B38" w:rsidP="00BD3913">
            <w:pPr>
              <w:pStyle w:val="Listenabsatz"/>
              <w:numPr>
                <w:ilvl w:val="0"/>
                <w:numId w:val="13"/>
              </w:numPr>
              <w:ind w:left="41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Regelung nach </w:t>
            </w:r>
            <w:r w:rsidR="00946397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§ 21</w:t>
            </w: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Abs. </w:t>
            </w:r>
            <w:r w:rsidR="00946397"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04181A1" w14:textId="77777777" w:rsidR="00E12D29" w:rsidRPr="00AE3AFA" w:rsidRDefault="00F11B38" w:rsidP="00BD3913">
            <w:pPr>
              <w:pStyle w:val="Listenabsatz"/>
              <w:spacing w:after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„Die Lehrkräfte, die den Schüler unterrichten, </w:t>
            </w:r>
            <w:r w:rsidR="00576894" w:rsidRPr="00AE3AFA">
              <w:rPr>
                <w:rFonts w:asciiTheme="minorHAnsi" w:hAnsiTheme="minorHAnsi" w:cstheme="minorHAnsi"/>
                <w:sz w:val="22"/>
                <w:szCs w:val="22"/>
              </w:rPr>
              <w:t>erstellen nach Beratung mit allen anderen an der Förderung beteiligten Personen einen individuellen Förderplan. Sie überprüfen ihn reg</w:t>
            </w:r>
            <w:r w:rsidR="00E12D29" w:rsidRPr="00AE3AFA">
              <w:rPr>
                <w:rFonts w:asciiTheme="minorHAnsi" w:hAnsiTheme="minorHAnsi" w:cstheme="minorHAnsi"/>
                <w:sz w:val="22"/>
                <w:szCs w:val="22"/>
              </w:rPr>
              <w:t>elmäßig und schreiben ihn fort.“</w:t>
            </w:r>
          </w:p>
          <w:p w14:paraId="3C16BD41" w14:textId="77777777" w:rsidR="00576894" w:rsidRPr="00AE3AFA" w:rsidRDefault="00576894" w:rsidP="00E12D29">
            <w:pPr>
              <w:pStyle w:val="Listenabsatz"/>
              <w:numPr>
                <w:ilvl w:val="0"/>
                <w:numId w:val="13"/>
              </w:numPr>
              <w:spacing w:before="120"/>
              <w:ind w:left="41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b/>
                <w:sz w:val="22"/>
                <w:szCs w:val="22"/>
              </w:rPr>
              <w:t>Beleg/Dokumentation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, wie die jeweilige Schule mit der Besonderheit der Schülerin/des Schülers umgegangen ist,</w:t>
            </w:r>
          </w:p>
          <w:p w14:paraId="4F673031" w14:textId="77777777" w:rsidR="00576894" w:rsidRPr="00AE3AFA" w:rsidRDefault="00E12D29" w:rsidP="00576894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>Zentra</w:t>
            </w:r>
            <w:r w:rsidR="00576894" w:rsidRPr="00AE3AFA">
              <w:rPr>
                <w:rFonts w:asciiTheme="minorHAnsi" w:hAnsiTheme="minorHAnsi" w:cstheme="minorHAnsi"/>
                <w:sz w:val="22"/>
                <w:szCs w:val="22"/>
              </w:rPr>
              <w:t>les Anliegen des Förderplans ist die Individualisierung aller Maßnahmen und Hilfe,</w:t>
            </w:r>
          </w:p>
          <w:p w14:paraId="44B0AFE0" w14:textId="77777777" w:rsidR="00576894" w:rsidRPr="00AE3AFA" w:rsidRDefault="00C67A0F" w:rsidP="00C67A0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Bei der </w:t>
            </w:r>
            <w:r w:rsidR="00576894"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Erstellung des Förderplanes 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kann </w:t>
            </w:r>
            <w:r w:rsidR="00576894" w:rsidRPr="00AE3AFA">
              <w:rPr>
                <w:rFonts w:asciiTheme="minorHAnsi" w:hAnsiTheme="minorHAnsi" w:cstheme="minorHAnsi"/>
                <w:sz w:val="22"/>
                <w:szCs w:val="22"/>
              </w:rPr>
              <w:t>die sonderpädagogische Lehrkraft</w:t>
            </w:r>
            <w:r w:rsidRPr="00AE3AFA">
              <w:rPr>
                <w:rFonts w:asciiTheme="minorHAnsi" w:hAnsiTheme="minorHAnsi" w:cstheme="minorHAnsi"/>
                <w:sz w:val="22"/>
                <w:szCs w:val="22"/>
              </w:rPr>
              <w:t xml:space="preserve"> unterstützen</w:t>
            </w:r>
            <w:r w:rsidR="00576894" w:rsidRPr="00AE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8B80A55" w14:textId="4834F178" w:rsidR="00A22EA5" w:rsidRPr="008D027B" w:rsidRDefault="00A22EA5" w:rsidP="00A22EA5">
      <w:pPr>
        <w:ind w:left="360"/>
        <w:rPr>
          <w:rFonts w:asciiTheme="minorHAnsi" w:hAnsiTheme="minorHAnsi" w:cstheme="minorHAnsi"/>
          <w:b/>
          <w:sz w:val="18"/>
          <w:szCs w:val="18"/>
        </w:rPr>
      </w:pPr>
      <w:r w:rsidRPr="00AE3AFA">
        <w:rPr>
          <w:rFonts w:asciiTheme="minorHAnsi" w:hAnsiTheme="minorHAnsi" w:cstheme="minorHAnsi"/>
          <w:b/>
          <w:sz w:val="22"/>
          <w:szCs w:val="22"/>
        </w:rPr>
        <w:tab/>
      </w:r>
      <w:r w:rsidRPr="00AE3AFA">
        <w:rPr>
          <w:rFonts w:asciiTheme="minorHAnsi" w:hAnsiTheme="minorHAnsi" w:cstheme="minorHAnsi"/>
          <w:b/>
          <w:sz w:val="22"/>
          <w:szCs w:val="22"/>
        </w:rPr>
        <w:tab/>
      </w:r>
    </w:p>
    <w:sectPr w:rsidR="00A22EA5" w:rsidRPr="008D02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37B8" w14:textId="77777777" w:rsidR="00A83179" w:rsidRDefault="00A83179">
      <w:r>
        <w:separator/>
      </w:r>
    </w:p>
  </w:endnote>
  <w:endnote w:type="continuationSeparator" w:id="0">
    <w:p w14:paraId="194EA624" w14:textId="77777777" w:rsidR="00A83179" w:rsidRDefault="00A8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E3FF" w14:textId="77777777" w:rsidR="00A13D15" w:rsidRDefault="00A13D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46DB7" w14:textId="77777777" w:rsidR="00A13D15" w:rsidRDefault="00A13D1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7AC47" w14:textId="77777777" w:rsidR="00A13D15" w:rsidRDefault="00A13D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E61D" w14:textId="77777777" w:rsidR="00A83179" w:rsidRDefault="00A83179">
      <w:r>
        <w:separator/>
      </w:r>
    </w:p>
  </w:footnote>
  <w:footnote w:type="continuationSeparator" w:id="0">
    <w:p w14:paraId="14E8210A" w14:textId="77777777" w:rsidR="00A83179" w:rsidRDefault="00A8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E9EB" w14:textId="77777777" w:rsidR="00A13D15" w:rsidRDefault="00A13D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9"/>
      <w:gridCol w:w="6788"/>
    </w:tblGrid>
    <w:tr w:rsidR="00F07036" w:rsidRPr="00094626" w14:paraId="0ABD487B" w14:textId="77777777" w:rsidTr="00AD2DF0">
      <w:trPr>
        <w:trHeight w:val="919"/>
      </w:trPr>
      <w:tc>
        <w:tcPr>
          <w:tcW w:w="2689" w:type="dxa"/>
        </w:tcPr>
        <w:p w14:paraId="2B901B10" w14:textId="77777777" w:rsidR="00BD49C3" w:rsidRPr="003B5019" w:rsidRDefault="00BD49C3" w:rsidP="00BD49C3">
          <w:pPr>
            <w:pStyle w:val="Kopfzeile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3B5019">
            <w:rPr>
              <w:rFonts w:asciiTheme="minorHAnsi" w:hAnsiTheme="minorHAnsi" w:cstheme="minorHAnsi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5F09A9" wp14:editId="61817A7C">
                    <wp:simplePos x="0" y="0"/>
                    <wp:positionH relativeFrom="column">
                      <wp:posOffset>753883</wp:posOffset>
                    </wp:positionH>
                    <wp:positionV relativeFrom="paragraph">
                      <wp:posOffset>37051</wp:posOffset>
                    </wp:positionV>
                    <wp:extent cx="691764" cy="714458"/>
                    <wp:effectExtent l="0" t="0" r="0" b="9525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1764" cy="7144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268E89" w14:textId="35488533" w:rsidR="00BD49C3" w:rsidRDefault="00BD49C3" w:rsidP="00BD49C3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2AB930" wp14:editId="5E46B1EE">
                                      <wp:extent cx="484758" cy="666750"/>
                                      <wp:effectExtent l="0" t="0" r="0" b="0"/>
                                      <wp:docPr id="3" name="Bild 9" descr="Bildergebnis für inklus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Bildergebnis für inklus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4995" cy="7358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5F09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59.35pt;margin-top:2.9pt;width:54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" fillcolor="white [3201]" stroked="f" strokeweight=".5pt">
                    <v:textbox>
                      <w:txbxContent>
                        <w:p w14:paraId="0F268E89" w14:textId="35488533" w:rsidR="00BD49C3" w:rsidRDefault="00BD49C3" w:rsidP="00BD49C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2AB930" wp14:editId="5E46B1EE">
                                <wp:extent cx="484758" cy="666750"/>
                                <wp:effectExtent l="0" t="0" r="0" b="0"/>
                                <wp:docPr id="3" name="Bild 9" descr="Bildergebnis für inklus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Bildergebnis für inklus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4995" cy="7358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2A3E" w:rsidRPr="003B5019">
            <w:rPr>
              <w:rFonts w:asciiTheme="minorHAnsi" w:hAnsiTheme="minorHAnsi" w:cstheme="minorHAnsi"/>
              <w:b/>
              <w:sz w:val="20"/>
              <w:szCs w:val="20"/>
            </w:rPr>
            <w:t xml:space="preserve">Logo </w:t>
          </w:r>
        </w:p>
        <w:p w14:paraId="000E17E1" w14:textId="526AF939" w:rsidR="00F07036" w:rsidRPr="003B5019" w:rsidRDefault="00E72A3E" w:rsidP="00BD49C3">
          <w:pPr>
            <w:pStyle w:val="Kopfzeile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3B5019">
            <w:rPr>
              <w:rFonts w:asciiTheme="minorHAnsi" w:hAnsiTheme="minorHAnsi" w:cstheme="minorHAnsi"/>
              <w:b/>
              <w:sz w:val="20"/>
              <w:szCs w:val="20"/>
            </w:rPr>
            <w:t>der Schule</w:t>
          </w:r>
        </w:p>
        <w:p w14:paraId="68757334" w14:textId="5291ADDF" w:rsidR="00BD49C3" w:rsidRDefault="00BD49C3" w:rsidP="00AD2DF0">
          <w:pPr>
            <w:pStyle w:val="Kopfzeile"/>
            <w:jc w:val="center"/>
            <w:rPr>
              <w:rFonts w:asciiTheme="minorHAnsi" w:hAnsiTheme="minorHAnsi" w:cstheme="minorHAnsi"/>
            </w:rPr>
          </w:pPr>
        </w:p>
        <w:p w14:paraId="4DD70FD8" w14:textId="5D1F92FD" w:rsidR="00BD49C3" w:rsidRPr="00E72A3E" w:rsidRDefault="00BD49C3" w:rsidP="00AD2DF0">
          <w:pPr>
            <w:pStyle w:val="Kopfzeile"/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F56EE0C" wp14:editId="64F6F8AE">
                    <wp:extent cx="302260" cy="302260"/>
                    <wp:effectExtent l="0" t="0" r="0" b="0"/>
                    <wp:docPr id="2" name="AutoShape 2" descr="Bildergebnis für inklus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E304003" id="AutoShape 2" o:spid="_x0000_s1026" alt="Bildergebnis für inklusion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K4VRSvLAgAA2wUAAA4AAAAAAAAAAAAAAAAALgIAAGRycy9lMm9Eb2MueG1sUEsBAi0A&#10;FAAGAAgAAAAhAAKdVXjZAAAAAwEAAA8AAAAAAAAAAAAAAAAAJQUAAGRycy9kb3ducmV2LnhtbFBL&#10;BQYAAAAABAAEAPMAAAAr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6788" w:type="dxa"/>
          <w:vAlign w:val="center"/>
        </w:tcPr>
        <w:p w14:paraId="4E87A77C" w14:textId="77777777" w:rsidR="00F07036" w:rsidRPr="00657ACE" w:rsidRDefault="00F07036" w:rsidP="00BC64CE">
          <w:pPr>
            <w:pStyle w:val="Kopfzeile"/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657ACE">
            <w:rPr>
              <w:rFonts w:asciiTheme="minorHAnsi" w:hAnsiTheme="minorHAnsi" w:cstheme="minorHAnsi"/>
              <w:b/>
              <w:sz w:val="44"/>
              <w:szCs w:val="44"/>
            </w:rPr>
            <w:t>Inklusion</w:t>
          </w:r>
        </w:p>
        <w:p w14:paraId="45312DF7" w14:textId="77777777" w:rsidR="00F07036" w:rsidRPr="00094626" w:rsidRDefault="00F07036" w:rsidP="006D7CFF">
          <w:pPr>
            <w:pStyle w:val="Kopfzeile"/>
            <w:jc w:val="center"/>
            <w:rPr>
              <w:rFonts w:ascii="Comic Sans MS" w:hAnsi="Comic Sans MS"/>
            </w:rPr>
          </w:pPr>
        </w:p>
      </w:tc>
    </w:tr>
  </w:tbl>
  <w:p w14:paraId="1A9251CE" w14:textId="77777777" w:rsidR="00F07036" w:rsidRDefault="00F07036" w:rsidP="00D27900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B1A9" w14:textId="77777777" w:rsidR="00A13D15" w:rsidRDefault="00A13D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777"/>
    <w:multiLevelType w:val="hybridMultilevel"/>
    <w:tmpl w:val="4DF66C48"/>
    <w:lvl w:ilvl="0" w:tplc="0407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">
    <w:nsid w:val="08542F6F"/>
    <w:multiLevelType w:val="hybridMultilevel"/>
    <w:tmpl w:val="5C2A0E9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22204"/>
    <w:multiLevelType w:val="hybridMultilevel"/>
    <w:tmpl w:val="7EF85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4A43"/>
    <w:multiLevelType w:val="hybridMultilevel"/>
    <w:tmpl w:val="8334D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93E13"/>
    <w:multiLevelType w:val="hybridMultilevel"/>
    <w:tmpl w:val="7C1EF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77AA0"/>
    <w:multiLevelType w:val="hybridMultilevel"/>
    <w:tmpl w:val="26285022"/>
    <w:lvl w:ilvl="0" w:tplc="0407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6">
    <w:nsid w:val="443F5A24"/>
    <w:multiLevelType w:val="hybridMultilevel"/>
    <w:tmpl w:val="1FC88EE0"/>
    <w:lvl w:ilvl="0" w:tplc="0407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7">
    <w:nsid w:val="44AB1301"/>
    <w:multiLevelType w:val="hybridMultilevel"/>
    <w:tmpl w:val="7A442256"/>
    <w:lvl w:ilvl="0" w:tplc="0407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>
    <w:nsid w:val="4B552F73"/>
    <w:multiLevelType w:val="hybridMultilevel"/>
    <w:tmpl w:val="4B6270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81797"/>
    <w:multiLevelType w:val="hybridMultilevel"/>
    <w:tmpl w:val="0B4255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45F5"/>
    <w:multiLevelType w:val="hybridMultilevel"/>
    <w:tmpl w:val="5C42A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85527"/>
    <w:multiLevelType w:val="hybridMultilevel"/>
    <w:tmpl w:val="179E508C"/>
    <w:lvl w:ilvl="0" w:tplc="BED6D2D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4116AF"/>
    <w:multiLevelType w:val="hybridMultilevel"/>
    <w:tmpl w:val="FC8ACC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71A3E"/>
    <w:multiLevelType w:val="hybridMultilevel"/>
    <w:tmpl w:val="00C87AB2"/>
    <w:lvl w:ilvl="0" w:tplc="598CE4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6ACD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3238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50BB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DE60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C087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F00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27658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EA7D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78076AA3"/>
    <w:multiLevelType w:val="hybridMultilevel"/>
    <w:tmpl w:val="5E66C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74A45"/>
    <w:multiLevelType w:val="hybridMultilevel"/>
    <w:tmpl w:val="045691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E64FFB"/>
    <w:multiLevelType w:val="multilevel"/>
    <w:tmpl w:val="2E26C970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  <w:sz w:val="20"/>
      </w:rPr>
    </w:lvl>
  </w:abstractNum>
  <w:abstractNum w:abstractNumId="17">
    <w:nsid w:val="7DB44175"/>
    <w:multiLevelType w:val="hybridMultilevel"/>
    <w:tmpl w:val="C0F4F1DE"/>
    <w:lvl w:ilvl="0" w:tplc="0407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5"/>
  </w:num>
  <w:num w:numId="16">
    <w:abstractNumId w:val="14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C0"/>
    <w:rsid w:val="00003B91"/>
    <w:rsid w:val="00050437"/>
    <w:rsid w:val="00083415"/>
    <w:rsid w:val="00094626"/>
    <w:rsid w:val="000A7339"/>
    <w:rsid w:val="000C1610"/>
    <w:rsid w:val="001170B6"/>
    <w:rsid w:val="00160B2A"/>
    <w:rsid w:val="00195F19"/>
    <w:rsid w:val="00197A42"/>
    <w:rsid w:val="001A069E"/>
    <w:rsid w:val="001F01E7"/>
    <w:rsid w:val="00225BE1"/>
    <w:rsid w:val="00235070"/>
    <w:rsid w:val="00290B13"/>
    <w:rsid w:val="002A190D"/>
    <w:rsid w:val="002C0034"/>
    <w:rsid w:val="002D16FC"/>
    <w:rsid w:val="00311D21"/>
    <w:rsid w:val="003463FD"/>
    <w:rsid w:val="003556CF"/>
    <w:rsid w:val="003713E7"/>
    <w:rsid w:val="003811AA"/>
    <w:rsid w:val="00382B0B"/>
    <w:rsid w:val="00396710"/>
    <w:rsid w:val="003B5019"/>
    <w:rsid w:val="003C44C3"/>
    <w:rsid w:val="003E54C8"/>
    <w:rsid w:val="00411E90"/>
    <w:rsid w:val="00441911"/>
    <w:rsid w:val="00442104"/>
    <w:rsid w:val="00455AD9"/>
    <w:rsid w:val="00456448"/>
    <w:rsid w:val="00470A5C"/>
    <w:rsid w:val="00473382"/>
    <w:rsid w:val="0047446A"/>
    <w:rsid w:val="00484CDF"/>
    <w:rsid w:val="004A50DC"/>
    <w:rsid w:val="004E3CE6"/>
    <w:rsid w:val="004F47A6"/>
    <w:rsid w:val="00511879"/>
    <w:rsid w:val="00576894"/>
    <w:rsid w:val="005A0738"/>
    <w:rsid w:val="005A22CC"/>
    <w:rsid w:val="005A4CB2"/>
    <w:rsid w:val="005B0FDA"/>
    <w:rsid w:val="005C1587"/>
    <w:rsid w:val="005D7E69"/>
    <w:rsid w:val="006026DB"/>
    <w:rsid w:val="00630078"/>
    <w:rsid w:val="00650E2D"/>
    <w:rsid w:val="00657ACE"/>
    <w:rsid w:val="006647FD"/>
    <w:rsid w:val="00685FBD"/>
    <w:rsid w:val="006B1AC3"/>
    <w:rsid w:val="006D7CFF"/>
    <w:rsid w:val="006E5B50"/>
    <w:rsid w:val="006F233F"/>
    <w:rsid w:val="006F74A8"/>
    <w:rsid w:val="007046D2"/>
    <w:rsid w:val="00706D5F"/>
    <w:rsid w:val="00711F76"/>
    <w:rsid w:val="007120CE"/>
    <w:rsid w:val="00747477"/>
    <w:rsid w:val="00786FA8"/>
    <w:rsid w:val="00793B7F"/>
    <w:rsid w:val="007A0AD2"/>
    <w:rsid w:val="007C124F"/>
    <w:rsid w:val="007D2E56"/>
    <w:rsid w:val="007E0305"/>
    <w:rsid w:val="007E0E2B"/>
    <w:rsid w:val="007E6294"/>
    <w:rsid w:val="00897B5F"/>
    <w:rsid w:val="008A3AD1"/>
    <w:rsid w:val="008C67DA"/>
    <w:rsid w:val="008D027B"/>
    <w:rsid w:val="009058B6"/>
    <w:rsid w:val="00935713"/>
    <w:rsid w:val="00946397"/>
    <w:rsid w:val="00962DA6"/>
    <w:rsid w:val="00983577"/>
    <w:rsid w:val="00990A53"/>
    <w:rsid w:val="00993324"/>
    <w:rsid w:val="009A3ECC"/>
    <w:rsid w:val="009E2E1E"/>
    <w:rsid w:val="009E4AAC"/>
    <w:rsid w:val="009F590C"/>
    <w:rsid w:val="00A13D15"/>
    <w:rsid w:val="00A22EA5"/>
    <w:rsid w:val="00A34B3D"/>
    <w:rsid w:val="00A76E9F"/>
    <w:rsid w:val="00A83179"/>
    <w:rsid w:val="00AA4BD3"/>
    <w:rsid w:val="00AB265A"/>
    <w:rsid w:val="00AD01C3"/>
    <w:rsid w:val="00AD2DF0"/>
    <w:rsid w:val="00AD404C"/>
    <w:rsid w:val="00AE3AFA"/>
    <w:rsid w:val="00B04F00"/>
    <w:rsid w:val="00B0632E"/>
    <w:rsid w:val="00B434A1"/>
    <w:rsid w:val="00B47003"/>
    <w:rsid w:val="00B603DF"/>
    <w:rsid w:val="00B731A1"/>
    <w:rsid w:val="00BC0642"/>
    <w:rsid w:val="00BC64CE"/>
    <w:rsid w:val="00BC71A9"/>
    <w:rsid w:val="00BD3913"/>
    <w:rsid w:val="00BD49C3"/>
    <w:rsid w:val="00BF3088"/>
    <w:rsid w:val="00BF7330"/>
    <w:rsid w:val="00C246E9"/>
    <w:rsid w:val="00C277A4"/>
    <w:rsid w:val="00C37752"/>
    <w:rsid w:val="00C67A0F"/>
    <w:rsid w:val="00D0283A"/>
    <w:rsid w:val="00D154A2"/>
    <w:rsid w:val="00D251BF"/>
    <w:rsid w:val="00D27884"/>
    <w:rsid w:val="00D27900"/>
    <w:rsid w:val="00D66953"/>
    <w:rsid w:val="00D762E3"/>
    <w:rsid w:val="00D94266"/>
    <w:rsid w:val="00DD1D84"/>
    <w:rsid w:val="00DE7D7B"/>
    <w:rsid w:val="00DF373F"/>
    <w:rsid w:val="00E12D29"/>
    <w:rsid w:val="00E3130F"/>
    <w:rsid w:val="00E42D3E"/>
    <w:rsid w:val="00E566AA"/>
    <w:rsid w:val="00E72A3E"/>
    <w:rsid w:val="00E77D49"/>
    <w:rsid w:val="00ED49C3"/>
    <w:rsid w:val="00EF11C2"/>
    <w:rsid w:val="00F013E0"/>
    <w:rsid w:val="00F07036"/>
    <w:rsid w:val="00F11B38"/>
    <w:rsid w:val="00F76797"/>
    <w:rsid w:val="00F81182"/>
    <w:rsid w:val="00F834C0"/>
    <w:rsid w:val="00F83846"/>
    <w:rsid w:val="00F93A01"/>
    <w:rsid w:val="00FC1124"/>
    <w:rsid w:val="00FC46BA"/>
    <w:rsid w:val="00FD4A51"/>
    <w:rsid w:val="00FE2AE7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B81B4"/>
  <w15:docId w15:val="{3DEFCD0A-841D-4901-8548-B977488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34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34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34C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8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icHinweisHand">
    <w:name w:val="Comic_Hinweis_Hand"/>
    <w:basedOn w:val="Standard"/>
    <w:next w:val="Standard"/>
    <w:rsid w:val="006026DB"/>
    <w:pPr>
      <w:tabs>
        <w:tab w:val="num" w:pos="360"/>
      </w:tabs>
      <w:spacing w:before="60" w:after="120"/>
    </w:pPr>
    <w:rPr>
      <w:rFonts w:ascii="Comic Sans MS" w:hAnsi="Comic Sans MS"/>
      <w:b/>
      <w:sz w:val="22"/>
      <w:szCs w:val="20"/>
    </w:rPr>
  </w:style>
  <w:style w:type="paragraph" w:styleId="Sprechblasentext">
    <w:name w:val="Balloon Text"/>
    <w:basedOn w:val="Standard"/>
    <w:link w:val="SprechblasentextZchn"/>
    <w:rsid w:val="00D66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69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373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6D7CF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D7CFF"/>
  </w:style>
  <w:style w:type="character" w:styleId="Funotenzeichen">
    <w:name w:val="footnote reference"/>
    <w:basedOn w:val="Absatz-Standardschriftart"/>
    <w:rsid w:val="006D7CFF"/>
    <w:rPr>
      <w:vertAlign w:val="superscript"/>
    </w:rPr>
  </w:style>
  <w:style w:type="table" w:styleId="Tabellenraster">
    <w:name w:val="Table Grid"/>
    <w:basedOn w:val="NormaleTabelle"/>
    <w:rsid w:val="00D9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1B38"/>
    <w:rPr>
      <w:color w:val="0000FF"/>
      <w:u w:val="single"/>
    </w:rPr>
  </w:style>
  <w:style w:type="table" w:styleId="HellesRaster-Akzent2">
    <w:name w:val="Light Grid Accent 2"/>
    <w:basedOn w:val="NormaleTabelle"/>
    <w:uiPriority w:val="62"/>
    <w:rsid w:val="005A4C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5A4C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5A4C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5A4C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3">
    <w:name w:val="Medium Grid 3 Accent 3"/>
    <w:basedOn w:val="NormaleTabelle"/>
    <w:uiPriority w:val="69"/>
    <w:rsid w:val="005A4C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elleListe7">
    <w:name w:val="Table List 7"/>
    <w:basedOn w:val="NormaleTabelle"/>
    <w:rsid w:val="005A4C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MittleresRaster1-Akzent3">
    <w:name w:val="Medium Grid 1 Accent 3"/>
    <w:basedOn w:val="NormaleTabelle"/>
    <w:uiPriority w:val="67"/>
    <w:rsid w:val="005A4C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eFarbig2">
    <w:name w:val="Table Colorful 2"/>
    <w:basedOn w:val="NormaleTabelle"/>
    <w:rsid w:val="005A4C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unkleListe-Akzent3">
    <w:name w:val="Dark List Accent 3"/>
    <w:basedOn w:val="NormaleTabelle"/>
    <w:uiPriority w:val="70"/>
    <w:rsid w:val="005A4CB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FarbigeListe-Akzent5">
    <w:name w:val="Colorful List Accent 5"/>
    <w:basedOn w:val="NormaleTabelle"/>
    <w:uiPriority w:val="72"/>
    <w:rsid w:val="005A4CB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ittleresRaster3-Akzent6">
    <w:name w:val="Medium Grid 3 Accent 6"/>
    <w:basedOn w:val="NormaleTabelle"/>
    <w:uiPriority w:val="69"/>
    <w:rsid w:val="004421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FarbigeListe-Akzent2">
    <w:name w:val="Colorful List Accent 2"/>
    <w:basedOn w:val="NormaleTabelle"/>
    <w:uiPriority w:val="72"/>
    <w:rsid w:val="004421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tandardWeb">
    <w:name w:val="Normal (Web)"/>
    <w:basedOn w:val="Standard"/>
    <w:uiPriority w:val="99"/>
    <w:unhideWhenUsed/>
    <w:rsid w:val="00442104"/>
    <w:pPr>
      <w:spacing w:before="100" w:beforeAutospacing="1" w:after="100" w:afterAutospacing="1"/>
    </w:pPr>
  </w:style>
  <w:style w:type="table" w:styleId="TabelleAktuell">
    <w:name w:val="Table Contemporary"/>
    <w:basedOn w:val="NormaleTabelle"/>
    <w:rsid w:val="004421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rsid w:val="00E12D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suchterHyperlink">
    <w:name w:val="FollowedHyperlink"/>
    <w:basedOn w:val="Absatz-Standardschriftart"/>
    <w:semiHidden/>
    <w:unhideWhenUsed/>
    <w:rsid w:val="00630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/index.php?title=Blindenp%C3%A4dagoge&amp;action=edit&amp;redlink=1" TargetMode="External"/><Relationship Id="rId13" Type="http://schemas.openxmlformats.org/officeDocument/2006/relationships/hyperlink" Target="http://de.wikipedia.org/w/index.php?title=K%C3%B6rperbehindertenp%C3%A4dagoge&amp;action=edit&amp;redlink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/index.php?title=Sprachbehindertenp%C3%A4dagoge&amp;action=edit&amp;redlink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/index.php?title=Lernbehindertenp%C3%A4dagog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e.wikipedia.org/w/index.php?title=Geistigbehindertenp%C3%A4dagoge&amp;action=edit&amp;redlink=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/index.php?title=Geh%C3%B6rlosenp%C3%A4dagoge&amp;action=edit&amp;redlink=1" TargetMode="External"/><Relationship Id="rId14" Type="http://schemas.openxmlformats.org/officeDocument/2006/relationships/hyperlink" Target="http://de.wikipedia.org/w/index.php?title=Verhaltensgest%C3%B6rtenp%C3%A4dagoge&amp;action=edit&amp;redlink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50E3-E9D6-415E-9641-DA68BF1F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</vt:lpstr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</dc:title>
  <dc:creator>Simone</dc:creator>
  <cp:lastModifiedBy>Simone</cp:lastModifiedBy>
  <cp:revision>9</cp:revision>
  <cp:lastPrinted>2019-05-09T07:46:00Z</cp:lastPrinted>
  <dcterms:created xsi:type="dcterms:W3CDTF">2020-02-21T13:09:00Z</dcterms:created>
  <dcterms:modified xsi:type="dcterms:W3CDTF">2020-02-22T11:01:00Z</dcterms:modified>
</cp:coreProperties>
</file>