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BB6" w:rsidRDefault="00EA3BB2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515264</wp:posOffset>
                </wp:positionH>
                <wp:positionV relativeFrom="paragraph">
                  <wp:posOffset>-549911</wp:posOffset>
                </wp:positionV>
                <wp:extent cx="675641" cy="826773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641" cy="8267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57BB6" w:rsidRDefault="00EA3BB2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534997" cy="735845"/>
                                  <wp:effectExtent l="0" t="0" r="0" b="7105"/>
                                  <wp:docPr id="1" name="Bild 9" descr="Bildergebnis für inklusion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4997" cy="735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.55pt;margin-top:-43.3pt;width:53.2pt;height:6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" filled="f" stroked="f">
                <v:textbox>
                  <w:txbxContent>
                    <w:p w:rsidR="00857BB6" w:rsidRDefault="00EA3BB2">
                      <w:pPr>
                        <w:spacing w:after="0"/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534997" cy="735845"/>
                            <wp:effectExtent l="0" t="0" r="0" b="7105"/>
                            <wp:docPr id="1" name="Bild 9" descr="Bildergebnis für inklusion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4997" cy="735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-494278</wp:posOffset>
                </wp:positionH>
                <wp:positionV relativeFrom="paragraph">
                  <wp:posOffset>-637400</wp:posOffset>
                </wp:positionV>
                <wp:extent cx="1844673" cy="969648"/>
                <wp:effectExtent l="0" t="0" r="22227" b="20952"/>
                <wp:wrapNone/>
                <wp:docPr id="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673" cy="9696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57BB6" w:rsidRDefault="00EA3BB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Logo </w:t>
                            </w:r>
                          </w:p>
                          <w:p w:rsidR="00857BB6" w:rsidRDefault="00EA3BB2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der Schule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38.9pt;margin-top:-50.2pt;width:145.25pt;height:76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" strokeweight=".17625mm">
                <v:textbox>
                  <w:txbxContent>
                    <w:p w:rsidR="00857BB6" w:rsidRDefault="00EA3BB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Logo </w:t>
                      </w:r>
                    </w:p>
                    <w:p w:rsidR="00857BB6" w:rsidRDefault="00EA3BB2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der Schule</w:t>
                      </w:r>
                    </w:p>
                  </w:txbxContent>
                </v:textbox>
              </v:shape>
            </w:pict>
          </mc:Fallback>
        </mc:AlternateContent>
      </w:r>
    </w:p>
    <w:p w:rsidR="00857BB6" w:rsidRDefault="00EA3BB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Gewährung von Nachteilsausgleichen</w:t>
      </w:r>
    </w:p>
    <w:p w:rsidR="00857BB6" w:rsidRDefault="00EA3BB2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den Fachklassen des dualen Systems am Berufskolleg ABC</w:t>
      </w:r>
    </w:p>
    <w:p w:rsidR="00857BB6" w:rsidRDefault="00857BB6">
      <w:pPr>
        <w:spacing w:after="0"/>
        <w:jc w:val="center"/>
        <w:rPr>
          <w:b/>
          <w:bCs/>
          <w:sz w:val="28"/>
          <w:szCs w:val="28"/>
        </w:rPr>
      </w:pPr>
    </w:p>
    <w:p w:rsidR="00857BB6" w:rsidRDefault="00EA3BB2">
      <w:pPr>
        <w:spacing w:after="120"/>
      </w:pPr>
      <w:r>
        <w:t xml:space="preserve">Die Gewährung von Nachteilsausgleichen im dualen System am </w:t>
      </w:r>
      <w:r>
        <w:t xml:space="preserve">Berufskolleg ABC orientiert sich an dem grundsätzlichen Verfahren zur Umsetzung von Nachteilsausgleichen, welches das Berufskolleg ABC auf Basis der allgemein geltenden Bestimmungen für die eigene Vorgehensweise entwickelt hat. </w:t>
      </w:r>
    </w:p>
    <w:p w:rsidR="00857BB6" w:rsidRDefault="00857BB6">
      <w:pPr>
        <w:spacing w:after="0"/>
      </w:pPr>
    </w:p>
    <w:p w:rsidR="00857BB6" w:rsidRDefault="00EA3BB2">
      <w:pPr>
        <w:pStyle w:val="Listenabsatz"/>
        <w:numPr>
          <w:ilvl w:val="0"/>
          <w:numId w:val="1"/>
        </w:numPr>
        <w:ind w:hanging="720"/>
        <w:rPr>
          <w:b/>
        </w:rPr>
      </w:pPr>
      <w:r>
        <w:rPr>
          <w:b/>
        </w:rPr>
        <w:t>Grundsätzliche Voraussetzu</w:t>
      </w:r>
      <w:r>
        <w:rPr>
          <w:b/>
        </w:rPr>
        <w:t>ngen</w:t>
      </w:r>
    </w:p>
    <w:p w:rsidR="00857BB6" w:rsidRDefault="00EA3BB2">
      <w:r>
        <w:t>Sofern Schülerinnen und Schüler ihre Leistungen nicht begabungsgemäß erbringen können, können sie über die individuelle Förderung hinaus einen Nachteilsausgleich beantragen. Ein Nachteilsau</w:t>
      </w:r>
      <w:r>
        <w:t>s</w:t>
      </w:r>
      <w:r>
        <w:t>gleich soll im Sinn der Kompensation den mit einer Behinderun</w:t>
      </w:r>
      <w:r>
        <w:t>g und/oder einem sonderpädagog</w:t>
      </w:r>
      <w:r>
        <w:t>i</w:t>
      </w:r>
      <w:r>
        <w:t>schen Unterstützungsbedarf und/oder mit einer Erkrankung verbundenen Nachteil möglichst au</w:t>
      </w:r>
      <w:r>
        <w:t>s</w:t>
      </w:r>
      <w:r>
        <w:t>gleichen. Dabei ist der individuellen Beeinträchtigung angemessen Rechnung zu tragen, ohne dass das Anspruchsniveau der Leistungsanfor</w:t>
      </w:r>
      <w:r>
        <w:t>derungen und damit der Anspruch an die Qualität der Ler</w:t>
      </w:r>
      <w:r>
        <w:t>n</w:t>
      </w:r>
      <w:r>
        <w:t xml:space="preserve">ergebnisse geringer gemessen werden. </w:t>
      </w:r>
    </w:p>
    <w:p w:rsidR="00857BB6" w:rsidRDefault="00EA3BB2">
      <w:r>
        <w:t>Grundsätzlich muss beachtet werden, dass jeder Nachteilsausgleich individuell gestaltet werden muss. Eine schematische Übertragung möglicher Nachteilsregelungen a</w:t>
      </w:r>
      <w:r>
        <w:t>uf unterschiedliche Betroff</w:t>
      </w:r>
      <w:r>
        <w:t>e</w:t>
      </w:r>
      <w:r>
        <w:t>ne ist nicht sinnvoll. Das pädagogische Ermessen ist immer in Abwägung der Notwendigkeiten des Nachteilsausgleiches und der fachlichen Anforderungen zu beachten.</w:t>
      </w:r>
    </w:p>
    <w:p w:rsidR="00857BB6" w:rsidRDefault="00EA3BB2">
      <w:pPr>
        <w:spacing w:after="0"/>
      </w:pPr>
      <w:r>
        <w:t>Aus vorhandenen Gutachten und Attesten kann allerdings kein zwinge</w:t>
      </w:r>
      <w:r>
        <w:t>nder Anspruch auf einen Nac</w:t>
      </w:r>
      <w:r>
        <w:t>h</w:t>
      </w:r>
      <w:r>
        <w:t>teilsausgleich abgeleitet werden. Entscheidend ist immer die fachlich-pädagogische Einschätzung der unterrichtenden Fachlehrerinnen und Fachlehrer und der Schulleitung.</w:t>
      </w:r>
    </w:p>
    <w:p w:rsidR="00857BB6" w:rsidRDefault="00857BB6">
      <w:pPr>
        <w:spacing w:after="0"/>
      </w:pPr>
    </w:p>
    <w:p w:rsidR="00857BB6" w:rsidRDefault="00EA3BB2">
      <w:pPr>
        <w:spacing w:after="120"/>
      </w:pPr>
      <w:r>
        <w:rPr>
          <w:i/>
        </w:rPr>
        <w:t>Ansprechpartner</w:t>
      </w:r>
      <w:r>
        <w:t xml:space="preserve"> für die Gewährung eines </w:t>
      </w:r>
      <w:r>
        <w:t>Nachteilsausgleiches sind die Inklusionsbeauftragten des Berufskollegs ABC.</w:t>
      </w:r>
    </w:p>
    <w:p w:rsidR="00857BB6" w:rsidRDefault="00857BB6">
      <w:pPr>
        <w:spacing w:after="0"/>
      </w:pPr>
    </w:p>
    <w:p w:rsidR="00857BB6" w:rsidRDefault="00EA3BB2">
      <w:pPr>
        <w:spacing w:after="0"/>
        <w:rPr>
          <w:b/>
        </w:rPr>
      </w:pPr>
      <w:r>
        <w:rPr>
          <w:b/>
        </w:rPr>
        <w:t>2</w:t>
      </w:r>
      <w:r>
        <w:rPr>
          <w:b/>
        </w:rPr>
        <w:tab/>
        <w:t>Wer kann einen Nachteilsausgleich erhalten?</w:t>
      </w:r>
    </w:p>
    <w:p w:rsidR="00857BB6" w:rsidRDefault="00857BB6">
      <w:pPr>
        <w:spacing w:after="0"/>
        <w:rPr>
          <w:b/>
        </w:rPr>
      </w:pPr>
    </w:p>
    <w:p w:rsidR="00857BB6" w:rsidRDefault="00EA3BB2">
      <w:pPr>
        <w:spacing w:after="360"/>
      </w:pPr>
      <w:r>
        <w:t>Einen Nachteilsausgleich darf gewährt werden für…</w:t>
      </w:r>
    </w:p>
    <w:p w:rsidR="00857BB6" w:rsidRDefault="00EA3BB2">
      <w:pPr>
        <w:pStyle w:val="Listenabsatz"/>
        <w:numPr>
          <w:ilvl w:val="0"/>
          <w:numId w:val="2"/>
        </w:numPr>
      </w:pPr>
      <w:r>
        <w:t>Schülerinnen und Schüler mit festgestelltem und für die Sekundarstufe II berechtig</w:t>
      </w:r>
      <w:r>
        <w:t>ten Bedarf an sonderpädagogischer Unterstützung.</w:t>
      </w:r>
    </w:p>
    <w:p w:rsidR="00857BB6" w:rsidRDefault="00EA3BB2">
      <w:pPr>
        <w:pStyle w:val="Listenabsatz"/>
        <w:numPr>
          <w:ilvl w:val="0"/>
          <w:numId w:val="2"/>
        </w:numPr>
      </w:pPr>
      <w:r>
        <w:t>Schülerinnen und Schüler mit einer Behinderung, einer medizinisch attestierten chronischen oder akuten Erkrankung.</w:t>
      </w:r>
    </w:p>
    <w:p w:rsidR="00857BB6" w:rsidRDefault="00EA3BB2">
      <w:pPr>
        <w:pStyle w:val="Listenabsatz"/>
        <w:numPr>
          <w:ilvl w:val="0"/>
          <w:numId w:val="2"/>
        </w:numPr>
      </w:pPr>
      <w:r>
        <w:t>Schülerinnen und Schüler mit einer medizinisch attestierten Störung im autistischen Spek</w:t>
      </w:r>
      <w:r>
        <w:t>t</w:t>
      </w:r>
      <w:r>
        <w:t>rum</w:t>
      </w:r>
      <w:r>
        <w:t>, aber ohne festgestellten sonderpädagogischen Unterstützungsbedarf.</w:t>
      </w:r>
    </w:p>
    <w:p w:rsidR="00857BB6" w:rsidRDefault="00857BB6">
      <w:pPr>
        <w:pStyle w:val="Listenabsatz"/>
      </w:pPr>
    </w:p>
    <w:p w:rsidR="00857BB6" w:rsidRDefault="00EA3BB2">
      <w:pPr>
        <w:rPr>
          <w:b/>
        </w:rPr>
      </w:pPr>
      <w:r>
        <w:rPr>
          <w:b/>
        </w:rPr>
        <w:t>3</w:t>
      </w:r>
      <w:r>
        <w:rPr>
          <w:b/>
        </w:rPr>
        <w:tab/>
        <w:t>Verfahrensablauf zur Gewährung eines Nachteilsausgleiches</w:t>
      </w:r>
    </w:p>
    <w:p w:rsidR="00857BB6" w:rsidRDefault="00EA3BB2">
      <w:r>
        <w:t>Erziehungsberechtigte oder volljährige Schülerinnen und Schüler stellen schriftlich einen Antrag zur Gewährung eines Nachteils</w:t>
      </w:r>
      <w:r>
        <w:t>ausgleiches an die Schulleitung und gegebenenfalls</w:t>
      </w:r>
      <w:r>
        <w:rPr>
          <w:rStyle w:val="Funotenzeichen"/>
        </w:rPr>
        <w:footnoteReference w:id="1"/>
      </w:r>
      <w:r>
        <w:t xml:space="preserve"> einen Antrag auf Fortführung des sonderpädagogischen Förderbedarfes an die Obere Schulaufsichtsbehörde. In dem so anlaufenden Verfahrensablauf sind folgende S</w:t>
      </w:r>
      <w:r>
        <w:t>chritte einzuhalten:</w:t>
      </w:r>
    </w:p>
    <w:p w:rsidR="00857BB6" w:rsidRDefault="00EA3BB2">
      <w:pPr>
        <w:pStyle w:val="Listenabsatz"/>
        <w:numPr>
          <w:ilvl w:val="0"/>
          <w:numId w:val="3"/>
        </w:numPr>
      </w:pPr>
      <w:r>
        <w:rPr>
          <w:i/>
        </w:rPr>
        <w:lastRenderedPageBreak/>
        <w:t>Beratungsgespräch</w:t>
      </w:r>
      <w:r>
        <w:t xml:space="preserve"> mit der Schülerin oder dem Schüler bzw. den Eltern und ggf. mit dem I</w:t>
      </w:r>
      <w:r>
        <w:t>n</w:t>
      </w:r>
      <w:r>
        <w:t>tegrationshelfer, dem Therapeuten, dem Sonderpädagogen oder anderen Fachleuten unter Leitung des Inklusionsbeauftragten der Abteilung.</w:t>
      </w:r>
    </w:p>
    <w:p w:rsidR="00857BB6" w:rsidRDefault="00EA3BB2">
      <w:pPr>
        <w:pStyle w:val="Listenabsatz"/>
        <w:numPr>
          <w:ilvl w:val="0"/>
          <w:numId w:val="3"/>
        </w:numPr>
      </w:pPr>
      <w:r>
        <w:t xml:space="preserve">Zur </w:t>
      </w:r>
      <w:r>
        <w:rPr>
          <w:i/>
        </w:rPr>
        <w:t>Dokument</w:t>
      </w:r>
      <w:r>
        <w:rPr>
          <w:i/>
        </w:rPr>
        <w:t>ation</w:t>
      </w:r>
      <w:r>
        <w:t xml:space="preserve"> sind Nachweise wie beispielsweise Atteste, medizinische Diagnosen und Bescheinigungen, bereits in der Vergangenheit gewährte Nachteilsausgleiche oder Förde</w:t>
      </w:r>
      <w:r>
        <w:t>r</w:t>
      </w:r>
      <w:r>
        <w:t>pläne von der Schülerin oder dem Schüler bzw. den Eltern dem Inklusionsbeauftragten der Abteil</w:t>
      </w:r>
      <w:r>
        <w:t>ung auszuhändigen.</w:t>
      </w:r>
    </w:p>
    <w:p w:rsidR="00857BB6" w:rsidRDefault="00EA3BB2">
      <w:pPr>
        <w:pStyle w:val="Listenabsatz"/>
        <w:numPr>
          <w:ilvl w:val="0"/>
          <w:numId w:val="3"/>
        </w:numPr>
      </w:pPr>
      <w:r>
        <w:t xml:space="preserve">Einberufung der </w:t>
      </w:r>
      <w:r>
        <w:rPr>
          <w:i/>
        </w:rPr>
        <w:t>Klassenkonferenz</w:t>
      </w:r>
      <w:r>
        <w:t xml:space="preserve"> zur Formulierung des Nachteilsausgleiches und ggf. des sonderpädagogischen Förderplanes.</w:t>
      </w:r>
    </w:p>
    <w:p w:rsidR="00857BB6" w:rsidRDefault="00EA3BB2">
      <w:pPr>
        <w:pStyle w:val="Listenabsatz"/>
        <w:numPr>
          <w:ilvl w:val="0"/>
          <w:numId w:val="3"/>
        </w:numPr>
      </w:pPr>
      <w:r>
        <w:rPr>
          <w:i/>
        </w:rPr>
        <w:t>Genehmigung</w:t>
      </w:r>
      <w:r>
        <w:t xml:space="preserve"> des Nachteilsausgleiches durch die Schulleitung.</w:t>
      </w:r>
    </w:p>
    <w:p w:rsidR="00857BB6" w:rsidRDefault="00EA3BB2">
      <w:pPr>
        <w:pStyle w:val="Listenabsatz"/>
        <w:numPr>
          <w:ilvl w:val="0"/>
          <w:numId w:val="3"/>
        </w:numPr>
      </w:pPr>
      <w:r>
        <w:rPr>
          <w:i/>
        </w:rPr>
        <w:t xml:space="preserve">Aushändigung einer Kopie </w:t>
      </w:r>
      <w:r>
        <w:t xml:space="preserve">des unterschriebenen </w:t>
      </w:r>
      <w:r>
        <w:t>Nachteilsausgleiches und ggf. sonderpäd</w:t>
      </w:r>
      <w:r>
        <w:t>a</w:t>
      </w:r>
      <w:r>
        <w:t>gogischen Förderplanes an die Schülerin oder den Schüler und der jeweils zuständigen Kammer durch den Inklusionsbeauftragten der Abteilung.</w:t>
      </w:r>
    </w:p>
    <w:p w:rsidR="00857BB6" w:rsidRDefault="00EA3BB2">
      <w:pPr>
        <w:pStyle w:val="Listenabsatz"/>
        <w:numPr>
          <w:ilvl w:val="0"/>
          <w:numId w:val="3"/>
        </w:numPr>
        <w:spacing w:after="120"/>
        <w:ind w:left="782" w:hanging="357"/>
      </w:pPr>
      <w:r>
        <w:t>Nachteilsausgleiche sind mindestens einmal pro Schuljahr zu evaluieren und g</w:t>
      </w:r>
      <w:r>
        <w:t>gf. der aktue</w:t>
      </w:r>
      <w:r>
        <w:t>l</w:t>
      </w:r>
      <w:r>
        <w:t>len Situation anzupassen.</w:t>
      </w:r>
    </w:p>
    <w:p w:rsidR="00857BB6" w:rsidRDefault="00857BB6">
      <w:pPr>
        <w:pStyle w:val="Listenabsatz"/>
        <w:spacing w:after="0"/>
        <w:ind w:left="782"/>
      </w:pPr>
    </w:p>
    <w:p w:rsidR="00857BB6" w:rsidRDefault="00EA3BB2">
      <w:pPr>
        <w:rPr>
          <w:b/>
        </w:rPr>
      </w:pPr>
      <w:r>
        <w:rPr>
          <w:b/>
        </w:rPr>
        <w:t>4</w:t>
      </w:r>
      <w:r>
        <w:rPr>
          <w:b/>
        </w:rPr>
        <w:tab/>
        <w:t>Nachteilsausgleich während der Prüfungen</w:t>
      </w:r>
    </w:p>
    <w:p w:rsidR="00857BB6" w:rsidRDefault="00EA3BB2">
      <w:r>
        <w:t>Bei der Zwischenprüfung und der Berufsabschlussprüfung in der dualen Berufsausbildung handelt es sich um zentrale Prüfungen nach Bundesrecht, die nicht in der Zuständigkeit</w:t>
      </w:r>
      <w:r>
        <w:t xml:space="preserve"> der Berufskollegs liegen. Der Nachteilsausgleich erfolgt aufgrund § 65 BBiG oder § 42 HwO. Die Genehmigung der Maßna</w:t>
      </w:r>
      <w:r>
        <w:t>h</w:t>
      </w:r>
      <w:r>
        <w:t>men zum Nachteilsausgleich erfolgt somit über die jeweils zuständige Kammer.</w:t>
      </w:r>
    </w:p>
    <w:p w:rsidR="00857BB6" w:rsidRDefault="00EA3BB2">
      <w:pPr>
        <w:spacing w:after="120"/>
      </w:pPr>
      <w:r>
        <w:t>Der Antrag auf Gewährung eines Nachteilsausgleiches muss rech</w:t>
      </w:r>
      <w:r>
        <w:t>tzeitig bei der zuständigen Kammer durch die Schülerin oder den Schüler oder den Eltern über die Inklusionsbeauftragten gestellt we</w:t>
      </w:r>
      <w:r>
        <w:t>r</w:t>
      </w:r>
      <w:r>
        <w:t>den. Sofern erwünscht, stellt das Berufskolleg Bescheinigungen über die während der Berufsausbi</w:t>
      </w:r>
      <w:r>
        <w:t>l</w:t>
      </w:r>
      <w:r>
        <w:t>dung gewährten Nachteilsausg</w:t>
      </w:r>
      <w:r>
        <w:t>leiche und Nachweise der beispielsweise erhaltenen Atteste, medizin</w:t>
      </w:r>
      <w:r>
        <w:t>i</w:t>
      </w:r>
      <w:r>
        <w:t>schen Gutachten und Diagnosen als Grundlage zur Gewährung der Nachteilsausgleiche zur Verf</w:t>
      </w:r>
      <w:r>
        <w:t>ü</w:t>
      </w:r>
      <w:r>
        <w:t>gung.</w:t>
      </w:r>
    </w:p>
    <w:p w:rsidR="00857BB6" w:rsidRDefault="00857BB6">
      <w:pPr>
        <w:spacing w:after="0"/>
        <w:rPr>
          <w:b/>
        </w:rPr>
      </w:pPr>
    </w:p>
    <w:p w:rsidR="00857BB6" w:rsidRDefault="00EA3BB2">
      <w:pPr>
        <w:rPr>
          <w:b/>
        </w:rPr>
      </w:pPr>
      <w:r>
        <w:rPr>
          <w:b/>
        </w:rPr>
        <w:t>5</w:t>
      </w:r>
      <w:r>
        <w:rPr>
          <w:b/>
        </w:rPr>
        <w:tab/>
        <w:t>Literaturhinweis</w:t>
      </w:r>
    </w:p>
    <w:p w:rsidR="00857BB6" w:rsidRDefault="00EA3BB2">
      <w:pPr>
        <w:spacing w:after="0"/>
      </w:pPr>
      <w:r>
        <w:rPr>
          <w:i/>
        </w:rPr>
        <w:t>Arbeitshilfe:</w:t>
      </w:r>
      <w:r>
        <w:t xml:space="preserve"> Gewährung von Nachteilsausgleichen für Schülerinnen und </w:t>
      </w:r>
      <w:r>
        <w:t>Schüler mit Behinderungen, Bedarf an sonderpädagogischer Unterstützung und /oder besonderen Auffälligkeiten für das Beruf</w:t>
      </w:r>
      <w:r>
        <w:t>s</w:t>
      </w:r>
      <w:r>
        <w:t>kolleg – Eine Orientierungshilfe für Schulleitungen. Stand: Juli 2017</w:t>
      </w:r>
    </w:p>
    <w:p w:rsidR="00857BB6" w:rsidRDefault="00EA3BB2">
      <w:pPr>
        <w:spacing w:after="0"/>
      </w:pPr>
      <w:r>
        <w:t>Ministerium für Schule und Weiterbildung des Landes Nordrhein-We</w:t>
      </w:r>
      <w:r>
        <w:t xml:space="preserve">stfalen </w:t>
      </w:r>
    </w:p>
    <w:p w:rsidR="00857BB6" w:rsidRDefault="00857BB6">
      <w:pPr>
        <w:spacing w:after="0"/>
      </w:pPr>
    </w:p>
    <w:sectPr w:rsidR="00857BB6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3BB2">
      <w:pPr>
        <w:spacing w:after="0"/>
      </w:pPr>
      <w:r>
        <w:separator/>
      </w:r>
    </w:p>
  </w:endnote>
  <w:endnote w:type="continuationSeparator" w:id="0">
    <w:p w:rsidR="00000000" w:rsidRDefault="00EA3B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3BB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EA3BB2">
      <w:pPr>
        <w:spacing w:after="0"/>
      </w:pPr>
      <w:r>
        <w:continuationSeparator/>
      </w:r>
    </w:p>
  </w:footnote>
  <w:footnote w:id="1">
    <w:p w:rsidR="00857BB6" w:rsidRDefault="00EA3BB2">
      <w:pPr>
        <w:pStyle w:val="Funotentext"/>
      </w:pPr>
      <w:r>
        <w:rPr>
          <w:rStyle w:val="Funotenzeichen"/>
        </w:rPr>
        <w:footnoteRef/>
      </w:r>
      <w:r>
        <w:rPr>
          <w:sz w:val="18"/>
          <w:szCs w:val="18"/>
        </w:rPr>
        <w:t xml:space="preserve"> Gegebenenfalls im Folgenden abgekürzt: ggf.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27F0"/>
    <w:multiLevelType w:val="multilevel"/>
    <w:tmpl w:val="AF9A3DF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2790D"/>
    <w:multiLevelType w:val="multilevel"/>
    <w:tmpl w:val="857094D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142338F"/>
    <w:multiLevelType w:val="multilevel"/>
    <w:tmpl w:val="5BD20F7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57BB6"/>
    <w:rsid w:val="00857BB6"/>
    <w:rsid w:val="00EA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Funotentext">
    <w:name w:val="footnote text"/>
    <w:basedOn w:val="Standar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Sprechblasentext">
    <w:name w:val="Balloon Text"/>
    <w:basedOn w:val="Standard"/>
    <w:pPr>
      <w:spacing w:after="0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Arial" w:hAnsi="Arial" w:cs="Arial"/>
      <w:sz w:val="18"/>
      <w:szCs w:val="18"/>
    </w:rPr>
  </w:style>
  <w:style w:type="paragraph" w:styleId="Endnotentext">
    <w:name w:val="endnote text"/>
    <w:basedOn w:val="Standard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rPr>
      <w:sz w:val="20"/>
      <w:szCs w:val="20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pPr>
      <w:ind w:left="720"/>
    </w:pPr>
  </w:style>
  <w:style w:type="paragraph" w:styleId="Funotentext">
    <w:name w:val="footnote text"/>
    <w:basedOn w:val="Standard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rPr>
      <w:sz w:val="20"/>
      <w:szCs w:val="20"/>
    </w:rPr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paragraph" w:styleId="Sprechblasentext">
    <w:name w:val="Balloon Text"/>
    <w:basedOn w:val="Standard"/>
    <w:pPr>
      <w:spacing w:after="0"/>
    </w:pPr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Arial" w:hAnsi="Arial" w:cs="Arial"/>
      <w:sz w:val="18"/>
      <w:szCs w:val="18"/>
    </w:rPr>
  </w:style>
  <w:style w:type="paragraph" w:styleId="Endnotentext">
    <w:name w:val="endnote text"/>
    <w:basedOn w:val="Standard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rPr>
      <w:sz w:val="20"/>
      <w:szCs w:val="20"/>
    </w:rPr>
  </w:style>
  <w:style w:type="character" w:styleId="Endnotenzeichen">
    <w:name w:val="endnote reference"/>
    <w:basedOn w:val="Absatz-Standardschriftart"/>
    <w:rPr>
      <w:position w:val="0"/>
      <w:vertAlign w:val="superscript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Weiß, Hans-Peter</cp:lastModifiedBy>
  <cp:revision>2</cp:revision>
  <cp:lastPrinted>2018-02-24T15:01:00Z</cp:lastPrinted>
  <dcterms:created xsi:type="dcterms:W3CDTF">2020-02-27T09:40:00Z</dcterms:created>
  <dcterms:modified xsi:type="dcterms:W3CDTF">2020-02-27T09:40:00Z</dcterms:modified>
</cp:coreProperties>
</file>